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A5" w:rsidRPr="00B654A5" w:rsidRDefault="008478FD" w:rsidP="00B654A5">
      <w:pPr>
        <w:ind w:left="231"/>
        <w:jc w:val="center"/>
        <w:rPr>
          <w:rFonts w:asciiTheme="minorHAnsi" w:eastAsia="Arial" w:hAnsiTheme="minorHAnsi" w:cstheme="minorHAnsi"/>
          <w:b/>
        </w:rPr>
      </w:pPr>
      <w:r w:rsidRPr="00B654A5">
        <w:rPr>
          <w:rFonts w:asciiTheme="minorHAnsi" w:eastAsia="Arial" w:hAnsiTheme="minorHAnsi" w:cstheme="minorHAnsi"/>
          <w:b/>
        </w:rPr>
        <w:t>TO THE POLICE AND CRIME COMMISSIONER</w:t>
      </w:r>
      <w:r w:rsidR="00B654A5" w:rsidRPr="00B654A5">
        <w:rPr>
          <w:rFonts w:asciiTheme="minorHAnsi" w:eastAsia="Arial" w:hAnsiTheme="minorHAnsi" w:cstheme="minorHAnsi"/>
          <w:b/>
        </w:rPr>
        <w:t xml:space="preserve"> OF NORTH YORKSHIRE</w:t>
      </w:r>
      <w:r w:rsidRPr="00B654A5">
        <w:rPr>
          <w:rFonts w:asciiTheme="minorHAnsi" w:eastAsia="Arial" w:hAnsiTheme="minorHAnsi" w:cstheme="minorHAnsi"/>
          <w:b/>
        </w:rPr>
        <w:t xml:space="preserve"> AND THE </w:t>
      </w:r>
    </w:p>
    <w:p w:rsidR="008478FD" w:rsidRPr="00B654A5" w:rsidRDefault="008478FD" w:rsidP="00B654A5">
      <w:pPr>
        <w:ind w:left="231"/>
        <w:jc w:val="center"/>
        <w:rPr>
          <w:rFonts w:asciiTheme="minorHAnsi" w:hAnsiTheme="minorHAnsi" w:cstheme="minorHAnsi"/>
        </w:rPr>
      </w:pPr>
      <w:r w:rsidRPr="00B654A5">
        <w:rPr>
          <w:rFonts w:asciiTheme="minorHAnsi" w:eastAsia="Arial" w:hAnsiTheme="minorHAnsi" w:cstheme="minorHAnsi"/>
          <w:b/>
        </w:rPr>
        <w:t xml:space="preserve">CHIEF CONSTABLE OF </w:t>
      </w:r>
      <w:r w:rsidR="00B654A5" w:rsidRPr="00B654A5">
        <w:rPr>
          <w:rFonts w:asciiTheme="minorHAnsi" w:eastAsia="Arial" w:hAnsiTheme="minorHAnsi" w:cstheme="minorHAnsi"/>
          <w:b/>
        </w:rPr>
        <w:t>NORTH YORKSHIRE</w:t>
      </w:r>
      <w:r w:rsidR="00B654A5">
        <w:rPr>
          <w:rFonts w:asciiTheme="minorHAnsi" w:eastAsia="Arial" w:hAnsiTheme="minorHAnsi" w:cstheme="minorHAnsi"/>
          <w:b/>
        </w:rPr>
        <w:t xml:space="preserve"> POLICE</w:t>
      </w:r>
    </w:p>
    <w:p w:rsidR="008478FD" w:rsidRPr="00B654A5" w:rsidRDefault="008478FD" w:rsidP="00B654A5">
      <w:pPr>
        <w:ind w:left="0" w:right="3" w:firstLine="0"/>
        <w:jc w:val="center"/>
        <w:rPr>
          <w:rFonts w:asciiTheme="minorHAnsi" w:hAnsiTheme="minorHAnsi" w:cstheme="minorHAnsi"/>
        </w:rPr>
      </w:pPr>
      <w:r w:rsidRPr="00B654A5">
        <w:rPr>
          <w:rFonts w:asciiTheme="minorHAnsi" w:eastAsia="Arial" w:hAnsiTheme="minorHAnsi" w:cstheme="minorHAnsi"/>
          <w:b/>
        </w:rPr>
        <w:t xml:space="preserve"> </w:t>
      </w:r>
    </w:p>
    <w:p w:rsidR="00620F6A" w:rsidRPr="00B654A5" w:rsidRDefault="00B654A5" w:rsidP="00B654A5">
      <w:pPr>
        <w:jc w:val="center"/>
        <w:rPr>
          <w:rFonts w:asciiTheme="minorHAnsi" w:hAnsiTheme="minorHAnsi" w:cstheme="minorHAnsi"/>
          <w:b/>
        </w:rPr>
      </w:pPr>
      <w:r w:rsidRPr="00B654A5">
        <w:rPr>
          <w:rFonts w:asciiTheme="minorHAnsi" w:hAnsiTheme="minorHAnsi" w:cstheme="minorHAnsi"/>
          <w:b/>
        </w:rPr>
        <w:t>A</w:t>
      </w:r>
      <w:r w:rsidR="00620F6A" w:rsidRPr="00B654A5">
        <w:rPr>
          <w:rFonts w:asciiTheme="minorHAnsi" w:hAnsiTheme="minorHAnsi" w:cstheme="minorHAnsi"/>
          <w:b/>
        </w:rPr>
        <w:t>NNUAL REPORT</w:t>
      </w:r>
      <w:r w:rsidR="005009CD" w:rsidRPr="00B654A5">
        <w:rPr>
          <w:rFonts w:asciiTheme="minorHAnsi" w:hAnsiTheme="minorHAnsi" w:cstheme="minorHAnsi"/>
          <w:b/>
        </w:rPr>
        <w:t xml:space="preserve"> FOR THE YEAR </w:t>
      </w:r>
      <w:r w:rsidR="00FD1BA1" w:rsidRPr="00B654A5">
        <w:rPr>
          <w:rFonts w:asciiTheme="minorHAnsi" w:hAnsiTheme="minorHAnsi" w:cstheme="minorHAnsi"/>
          <w:b/>
        </w:rPr>
        <w:t xml:space="preserve">ENDED </w:t>
      </w:r>
      <w:r w:rsidR="005009CD" w:rsidRPr="00B654A5">
        <w:rPr>
          <w:rFonts w:asciiTheme="minorHAnsi" w:hAnsiTheme="minorHAnsi" w:cstheme="minorHAnsi"/>
          <w:b/>
        </w:rPr>
        <w:t>31 MARCH 201</w:t>
      </w:r>
      <w:r w:rsidR="00534A54" w:rsidRPr="00B654A5">
        <w:rPr>
          <w:rFonts w:asciiTheme="minorHAnsi" w:hAnsiTheme="minorHAnsi" w:cstheme="minorHAnsi"/>
          <w:b/>
        </w:rPr>
        <w:t>8</w:t>
      </w:r>
    </w:p>
    <w:p w:rsidR="00ED4C8E" w:rsidRPr="00B654A5" w:rsidRDefault="00ED4C8E" w:rsidP="00B654A5">
      <w:pPr>
        <w:jc w:val="center"/>
        <w:rPr>
          <w:rFonts w:asciiTheme="minorHAnsi" w:hAnsiTheme="minorHAnsi" w:cstheme="minorHAnsi"/>
          <w:b/>
        </w:rPr>
      </w:pPr>
      <w:r w:rsidRPr="00B654A5">
        <w:rPr>
          <w:rFonts w:asciiTheme="minorHAnsi" w:hAnsiTheme="minorHAnsi" w:cstheme="minorHAnsi"/>
          <w:b/>
        </w:rPr>
        <w:t xml:space="preserve">OF THE JOINT INDEPENDENT </w:t>
      </w:r>
      <w:r w:rsidR="008B07B3" w:rsidRPr="00B654A5">
        <w:rPr>
          <w:rFonts w:asciiTheme="minorHAnsi" w:hAnsiTheme="minorHAnsi" w:cstheme="minorHAnsi"/>
          <w:b/>
        </w:rPr>
        <w:t>AUDIT</w:t>
      </w:r>
      <w:r w:rsidRPr="00B654A5">
        <w:rPr>
          <w:rFonts w:asciiTheme="minorHAnsi" w:hAnsiTheme="minorHAnsi" w:cstheme="minorHAnsi"/>
          <w:b/>
        </w:rPr>
        <w:t xml:space="preserve"> COMMITTEE</w:t>
      </w:r>
    </w:p>
    <w:p w:rsidR="00620F6A" w:rsidRPr="00B654A5" w:rsidRDefault="00620F6A" w:rsidP="00B3632C">
      <w:pPr>
        <w:jc w:val="both"/>
        <w:rPr>
          <w:rFonts w:asciiTheme="minorHAnsi" w:hAnsiTheme="minorHAnsi" w:cstheme="minorHAnsi"/>
        </w:rPr>
      </w:pPr>
    </w:p>
    <w:p w:rsidR="00620F6A" w:rsidRPr="00002905" w:rsidRDefault="00620F6A" w:rsidP="005654DC">
      <w:pPr>
        <w:numPr>
          <w:ilvl w:val="0"/>
          <w:numId w:val="1"/>
        </w:numPr>
        <w:jc w:val="both"/>
        <w:rPr>
          <w:rFonts w:asciiTheme="minorHAnsi" w:hAnsiTheme="minorHAnsi" w:cstheme="minorHAnsi"/>
          <w:u w:val="single"/>
        </w:rPr>
      </w:pPr>
      <w:r w:rsidRPr="00002905">
        <w:rPr>
          <w:rFonts w:asciiTheme="minorHAnsi" w:hAnsiTheme="minorHAnsi" w:cstheme="minorHAnsi"/>
          <w:u w:val="single"/>
        </w:rPr>
        <w:t>INTRODUCTION</w:t>
      </w:r>
    </w:p>
    <w:p w:rsidR="00620F6A" w:rsidRPr="00B654A5" w:rsidRDefault="00620F6A" w:rsidP="00B3632C">
      <w:pPr>
        <w:jc w:val="both"/>
        <w:rPr>
          <w:rFonts w:asciiTheme="minorHAnsi" w:hAnsiTheme="minorHAnsi" w:cstheme="minorHAnsi"/>
        </w:rPr>
      </w:pPr>
    </w:p>
    <w:p w:rsidR="005009CD" w:rsidRDefault="005009CD" w:rsidP="00B3632C">
      <w:pPr>
        <w:numPr>
          <w:ilvl w:val="1"/>
          <w:numId w:val="1"/>
        </w:numPr>
        <w:tabs>
          <w:tab w:val="num" w:pos="180"/>
        </w:tabs>
        <w:ind w:hanging="792"/>
        <w:jc w:val="both"/>
        <w:rPr>
          <w:rFonts w:ascii="Calibri" w:hAnsi="Calibri"/>
        </w:rPr>
      </w:pPr>
      <w:r w:rsidRPr="00B654A5">
        <w:rPr>
          <w:rFonts w:asciiTheme="minorHAnsi" w:hAnsiTheme="minorHAnsi" w:cstheme="minorHAnsi"/>
        </w:rPr>
        <w:t xml:space="preserve">The </w:t>
      </w:r>
      <w:r w:rsidR="004526D7" w:rsidRPr="00B654A5">
        <w:rPr>
          <w:rFonts w:asciiTheme="minorHAnsi" w:hAnsiTheme="minorHAnsi" w:cstheme="minorHAnsi"/>
        </w:rPr>
        <w:t>Joint Independent Audit Committee (</w:t>
      </w:r>
      <w:r w:rsidRPr="00B654A5">
        <w:rPr>
          <w:rFonts w:asciiTheme="minorHAnsi" w:hAnsiTheme="minorHAnsi" w:cstheme="minorHAnsi"/>
        </w:rPr>
        <w:t>JIAC</w:t>
      </w:r>
      <w:r w:rsidR="004526D7" w:rsidRPr="00B654A5">
        <w:rPr>
          <w:rFonts w:asciiTheme="minorHAnsi" w:hAnsiTheme="minorHAnsi" w:cstheme="minorHAnsi"/>
        </w:rPr>
        <w:t>)</w:t>
      </w:r>
      <w:r w:rsidRPr="00B654A5">
        <w:rPr>
          <w:rFonts w:asciiTheme="minorHAnsi" w:hAnsiTheme="minorHAnsi" w:cstheme="minorHAnsi"/>
        </w:rPr>
        <w:t xml:space="preserve"> provides independent </w:t>
      </w:r>
      <w:r w:rsidR="002C5251" w:rsidRPr="00B654A5">
        <w:rPr>
          <w:rFonts w:asciiTheme="minorHAnsi" w:hAnsiTheme="minorHAnsi" w:cstheme="minorHAnsi"/>
        </w:rPr>
        <w:t>assurance</w:t>
      </w:r>
      <w:r w:rsidRPr="00B654A5">
        <w:rPr>
          <w:rFonts w:asciiTheme="minorHAnsi" w:hAnsiTheme="minorHAnsi" w:cstheme="minorHAnsi"/>
        </w:rPr>
        <w:t xml:space="preserve"> on the adequacy of the corporate governance</w:t>
      </w:r>
      <w:r w:rsidR="00890F18">
        <w:rPr>
          <w:rFonts w:asciiTheme="minorHAnsi" w:hAnsiTheme="minorHAnsi" w:cstheme="minorHAnsi"/>
        </w:rPr>
        <w:t>, control</w:t>
      </w:r>
      <w:r w:rsidRPr="00B654A5">
        <w:rPr>
          <w:rFonts w:asciiTheme="minorHAnsi" w:hAnsiTheme="minorHAnsi" w:cstheme="minorHAnsi"/>
        </w:rPr>
        <w:t xml:space="preserve"> and risk management arrangements in place</w:t>
      </w:r>
      <w:r w:rsidR="00212EA7" w:rsidRPr="00B654A5">
        <w:rPr>
          <w:rFonts w:asciiTheme="minorHAnsi" w:hAnsiTheme="minorHAnsi" w:cstheme="minorHAnsi"/>
        </w:rPr>
        <w:t xml:space="preserve"> for the Police and Crime Commissioner</w:t>
      </w:r>
      <w:r w:rsidR="00212EA7">
        <w:rPr>
          <w:rFonts w:ascii="Calibri" w:hAnsi="Calibri"/>
        </w:rPr>
        <w:t xml:space="preserve"> for North Yorkshire (PCC) and the Chief Constable of North Yorkshire Police (CC)</w:t>
      </w:r>
      <w:r>
        <w:rPr>
          <w:rFonts w:ascii="Calibri" w:hAnsi="Calibri"/>
        </w:rPr>
        <w:t>.</w:t>
      </w:r>
      <w:r w:rsidR="00702457">
        <w:rPr>
          <w:rFonts w:ascii="Calibri" w:hAnsi="Calibri"/>
        </w:rPr>
        <w:t xml:space="preserve"> </w:t>
      </w:r>
      <w:r>
        <w:rPr>
          <w:rFonts w:ascii="Calibri" w:hAnsi="Calibri"/>
        </w:rPr>
        <w:t xml:space="preserve"> It jointly advises the PCC and CC according to good governance and proper practices.</w:t>
      </w:r>
    </w:p>
    <w:p w:rsidR="00845B58" w:rsidRDefault="00845B58" w:rsidP="00845B58">
      <w:pPr>
        <w:ind w:left="792" w:firstLine="0"/>
        <w:jc w:val="both"/>
        <w:rPr>
          <w:rFonts w:ascii="Calibri" w:hAnsi="Calibri"/>
        </w:rPr>
      </w:pPr>
    </w:p>
    <w:p w:rsidR="00845B58" w:rsidRDefault="00845B58" w:rsidP="00B3632C">
      <w:pPr>
        <w:numPr>
          <w:ilvl w:val="1"/>
          <w:numId w:val="1"/>
        </w:numPr>
        <w:tabs>
          <w:tab w:val="num" w:pos="180"/>
        </w:tabs>
        <w:ind w:hanging="792"/>
        <w:jc w:val="both"/>
        <w:rPr>
          <w:rFonts w:ascii="Calibri" w:hAnsi="Calibri"/>
        </w:rPr>
      </w:pPr>
      <w:r>
        <w:rPr>
          <w:rFonts w:ascii="Calibri" w:hAnsi="Calibri"/>
        </w:rPr>
        <w:t>This is the third Annual Report of the JIAC</w:t>
      </w:r>
      <w:r w:rsidR="00E45ED3">
        <w:rPr>
          <w:rFonts w:ascii="Calibri" w:hAnsi="Calibri"/>
        </w:rPr>
        <w:t xml:space="preserve"> and it sets out how the JIAC </w:t>
      </w:r>
      <w:r w:rsidR="00E45ED3" w:rsidRPr="00E45ED3">
        <w:rPr>
          <w:rFonts w:asciiTheme="minorHAnsi" w:hAnsiTheme="minorHAnsi" w:cstheme="minorHAnsi"/>
        </w:rPr>
        <w:t xml:space="preserve">fulfilled </w:t>
      </w:r>
      <w:r w:rsidR="00E45ED3">
        <w:rPr>
          <w:rFonts w:asciiTheme="minorHAnsi" w:hAnsiTheme="minorHAnsi" w:cstheme="minorHAnsi"/>
        </w:rPr>
        <w:t>its</w:t>
      </w:r>
      <w:r w:rsidR="00E45ED3" w:rsidRPr="00E45ED3">
        <w:rPr>
          <w:rFonts w:asciiTheme="minorHAnsi" w:hAnsiTheme="minorHAnsi" w:cstheme="minorHAnsi"/>
        </w:rPr>
        <w:t xml:space="preserve"> </w:t>
      </w:r>
      <w:r w:rsidR="00C64057">
        <w:rPr>
          <w:rFonts w:asciiTheme="minorHAnsi" w:hAnsiTheme="minorHAnsi" w:cstheme="minorHAnsi"/>
        </w:rPr>
        <w:t xml:space="preserve">purpose and </w:t>
      </w:r>
      <w:r w:rsidR="00E45ED3" w:rsidRPr="00E45ED3">
        <w:rPr>
          <w:rFonts w:asciiTheme="minorHAnsi" w:hAnsiTheme="minorHAnsi" w:cstheme="minorHAnsi"/>
        </w:rPr>
        <w:t>responsibilities in 201</w:t>
      </w:r>
      <w:r w:rsidR="00E45ED3">
        <w:rPr>
          <w:rFonts w:asciiTheme="minorHAnsi" w:hAnsiTheme="minorHAnsi" w:cstheme="minorHAnsi"/>
        </w:rPr>
        <w:t>7/18.</w:t>
      </w:r>
    </w:p>
    <w:p w:rsidR="00A97124" w:rsidRDefault="00A97124" w:rsidP="00B3632C">
      <w:pPr>
        <w:ind w:left="792" w:firstLine="0"/>
        <w:jc w:val="both"/>
        <w:rPr>
          <w:rFonts w:ascii="Calibri" w:hAnsi="Calibri"/>
        </w:rPr>
      </w:pPr>
    </w:p>
    <w:p w:rsidR="00702457" w:rsidRDefault="00B654A5" w:rsidP="00845B58">
      <w:pPr>
        <w:numPr>
          <w:ilvl w:val="1"/>
          <w:numId w:val="1"/>
        </w:numPr>
        <w:tabs>
          <w:tab w:val="num" w:pos="180"/>
        </w:tabs>
        <w:ind w:hanging="792"/>
        <w:jc w:val="both"/>
        <w:rPr>
          <w:rFonts w:asciiTheme="minorHAnsi" w:hAnsiTheme="minorHAnsi" w:cstheme="minorHAnsi"/>
        </w:rPr>
      </w:pPr>
      <w:r w:rsidRPr="00B654A5">
        <w:rPr>
          <w:rFonts w:asciiTheme="minorHAnsi" w:hAnsiTheme="minorHAnsi" w:cstheme="minorHAnsi"/>
        </w:rPr>
        <w:t xml:space="preserve">The </w:t>
      </w:r>
      <w:r w:rsidR="00702457">
        <w:rPr>
          <w:rFonts w:asciiTheme="minorHAnsi" w:hAnsiTheme="minorHAnsi" w:cstheme="minorHAnsi"/>
        </w:rPr>
        <w:t>JIAC</w:t>
      </w:r>
      <w:r w:rsidRPr="00B654A5">
        <w:rPr>
          <w:rFonts w:asciiTheme="minorHAnsi" w:hAnsiTheme="minorHAnsi" w:cstheme="minorHAnsi"/>
        </w:rPr>
        <w:t xml:space="preserve"> </w:t>
      </w:r>
      <w:r w:rsidR="00702457">
        <w:rPr>
          <w:rFonts w:asciiTheme="minorHAnsi" w:hAnsiTheme="minorHAnsi" w:cstheme="minorHAnsi"/>
        </w:rPr>
        <w:t>supports accountability within the force through the review of internal and external audit reports, monitoring of risk registers and other key strategies.  It will hold to account those responsible for the implementation of recommendations and action plans.  In addition, by overseeing the process of evaluating and improving governance, risk management and control, the JIAC helps those responsible for governance to ensure that accountability throughout the force is working well.</w:t>
      </w:r>
    </w:p>
    <w:p w:rsidR="00702457" w:rsidRDefault="00702457" w:rsidP="00702457">
      <w:pPr>
        <w:pStyle w:val="ListParagraph"/>
        <w:rPr>
          <w:rFonts w:asciiTheme="minorHAnsi" w:hAnsiTheme="minorHAnsi" w:cstheme="minorHAnsi"/>
        </w:rPr>
      </w:pPr>
    </w:p>
    <w:p w:rsidR="00845B58" w:rsidRPr="00702457" w:rsidRDefault="00702457" w:rsidP="00702457">
      <w:pPr>
        <w:numPr>
          <w:ilvl w:val="1"/>
          <w:numId w:val="1"/>
        </w:numPr>
        <w:tabs>
          <w:tab w:val="num" w:pos="180"/>
        </w:tabs>
        <w:ind w:hanging="792"/>
        <w:jc w:val="both"/>
        <w:rPr>
          <w:rFonts w:asciiTheme="minorHAnsi" w:hAnsiTheme="minorHAnsi" w:cstheme="minorHAnsi"/>
        </w:rPr>
      </w:pPr>
      <w:r>
        <w:rPr>
          <w:rFonts w:asciiTheme="minorHAnsi" w:hAnsiTheme="minorHAnsi" w:cstheme="minorHAnsi"/>
        </w:rPr>
        <w:t>The JIAC</w:t>
      </w:r>
      <w:r w:rsidRPr="00702457">
        <w:rPr>
          <w:rFonts w:asciiTheme="minorHAnsi" w:hAnsiTheme="minorHAnsi" w:cstheme="minorHAnsi"/>
        </w:rPr>
        <w:t xml:space="preserve"> </w:t>
      </w:r>
      <w:r w:rsidR="00845B58" w:rsidRPr="00702457">
        <w:rPr>
          <w:rFonts w:asciiTheme="minorHAnsi" w:hAnsiTheme="minorHAnsi" w:cstheme="minorHAnsi"/>
        </w:rPr>
        <w:t>is</w:t>
      </w:r>
      <w:r>
        <w:rPr>
          <w:rFonts w:asciiTheme="minorHAnsi" w:hAnsiTheme="minorHAnsi" w:cstheme="minorHAnsi"/>
        </w:rPr>
        <w:t>, in its turn,</w:t>
      </w:r>
      <w:r w:rsidR="00B654A5" w:rsidRPr="00702457">
        <w:rPr>
          <w:rFonts w:asciiTheme="minorHAnsi" w:hAnsiTheme="minorHAnsi" w:cstheme="minorHAnsi"/>
        </w:rPr>
        <w:t xml:space="preserve"> held to account by both the PCC and the </w:t>
      </w:r>
      <w:r w:rsidR="004E63FE" w:rsidRPr="00702457">
        <w:rPr>
          <w:rFonts w:asciiTheme="minorHAnsi" w:hAnsiTheme="minorHAnsi" w:cstheme="minorHAnsi"/>
        </w:rPr>
        <w:t>CC</w:t>
      </w:r>
      <w:r>
        <w:rPr>
          <w:rFonts w:asciiTheme="minorHAnsi" w:hAnsiTheme="minorHAnsi" w:cstheme="minorHAnsi"/>
        </w:rPr>
        <w:t xml:space="preserve"> on the extent to which it has fulfilled its purpose</w:t>
      </w:r>
      <w:r w:rsidR="00B654A5" w:rsidRPr="00702457">
        <w:rPr>
          <w:rFonts w:asciiTheme="minorHAnsi" w:hAnsiTheme="minorHAnsi" w:cstheme="minorHAnsi"/>
        </w:rPr>
        <w:t xml:space="preserve">. </w:t>
      </w:r>
      <w:r w:rsidR="00C64057">
        <w:rPr>
          <w:rFonts w:asciiTheme="minorHAnsi" w:hAnsiTheme="minorHAnsi" w:cstheme="minorHAnsi"/>
        </w:rPr>
        <w:t xml:space="preserve">The </w:t>
      </w:r>
      <w:r w:rsidR="00C64057" w:rsidRPr="00B654A5">
        <w:rPr>
          <w:rFonts w:asciiTheme="minorHAnsi" w:hAnsiTheme="minorHAnsi" w:cstheme="minorHAnsi"/>
        </w:rPr>
        <w:t>Chartered Institute of Public Finance and Accountancy (CIPFA)</w:t>
      </w:r>
      <w:r w:rsidR="00C64057">
        <w:rPr>
          <w:rFonts w:asciiTheme="minorHAnsi" w:hAnsiTheme="minorHAnsi" w:cstheme="minorHAnsi"/>
        </w:rPr>
        <w:t xml:space="preserve"> </w:t>
      </w:r>
      <w:r w:rsidR="00B654A5" w:rsidRPr="00702457">
        <w:rPr>
          <w:rFonts w:asciiTheme="minorHAnsi" w:hAnsiTheme="minorHAnsi" w:cstheme="minorHAnsi"/>
        </w:rPr>
        <w:t xml:space="preserve">sets criteria for this </w:t>
      </w:r>
      <w:r w:rsidR="00C64057">
        <w:rPr>
          <w:rFonts w:asciiTheme="minorHAnsi" w:hAnsiTheme="minorHAnsi" w:cstheme="minorHAnsi"/>
        </w:rPr>
        <w:t>which</w:t>
      </w:r>
      <w:r w:rsidR="00B654A5" w:rsidRPr="00702457">
        <w:rPr>
          <w:rFonts w:asciiTheme="minorHAnsi" w:hAnsiTheme="minorHAnsi" w:cstheme="minorHAnsi"/>
        </w:rPr>
        <w:t xml:space="preserve"> form</w:t>
      </w:r>
      <w:r w:rsidR="00845B58" w:rsidRPr="00702457">
        <w:rPr>
          <w:rFonts w:asciiTheme="minorHAnsi" w:hAnsiTheme="minorHAnsi" w:cstheme="minorHAnsi"/>
        </w:rPr>
        <w:t>s</w:t>
      </w:r>
      <w:r w:rsidR="00B654A5" w:rsidRPr="00702457">
        <w:rPr>
          <w:rFonts w:asciiTheme="minorHAnsi" w:hAnsiTheme="minorHAnsi" w:cstheme="minorHAnsi"/>
        </w:rPr>
        <w:t xml:space="preserve"> </w:t>
      </w:r>
      <w:r w:rsidR="00264606" w:rsidRPr="00702457">
        <w:rPr>
          <w:rFonts w:asciiTheme="minorHAnsi" w:hAnsiTheme="minorHAnsi" w:cstheme="minorHAnsi"/>
        </w:rPr>
        <w:t>an integral part of</w:t>
      </w:r>
      <w:r w:rsidR="00B654A5" w:rsidRPr="00702457">
        <w:rPr>
          <w:rFonts w:asciiTheme="minorHAnsi" w:hAnsiTheme="minorHAnsi" w:cstheme="minorHAnsi"/>
        </w:rPr>
        <w:t xml:space="preserve"> this report: </w:t>
      </w:r>
    </w:p>
    <w:p w:rsidR="00845B58" w:rsidRDefault="00845B58" w:rsidP="00845B58">
      <w:pPr>
        <w:pStyle w:val="ListParagraph"/>
        <w:rPr>
          <w:rFonts w:asciiTheme="minorHAnsi" w:hAnsiTheme="minorHAnsi" w:cstheme="minorHAnsi"/>
        </w:rPr>
      </w:pPr>
    </w:p>
    <w:p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has the committee fulfilled its agreed terms of reference? </w:t>
      </w:r>
    </w:p>
    <w:p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has the committee adopted recommended practice? </w:t>
      </w:r>
    </w:p>
    <w:p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have the development needs of committee members been assessed and are committee members accessing briefing and training opportunities? </w:t>
      </w:r>
    </w:p>
    <w:p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has the committee assessed its own effectiveness or been the subject of a review? </w:t>
      </w:r>
    </w:p>
    <w:p w:rsidR="00845B58" w:rsidRDefault="00B654A5" w:rsidP="00031551">
      <w:pPr>
        <w:numPr>
          <w:ilvl w:val="2"/>
          <w:numId w:val="1"/>
        </w:numPr>
        <w:ind w:left="1701" w:hanging="850"/>
        <w:jc w:val="both"/>
        <w:rPr>
          <w:rFonts w:asciiTheme="minorHAnsi" w:hAnsiTheme="minorHAnsi" w:cstheme="minorHAnsi"/>
        </w:rPr>
      </w:pPr>
      <w:r w:rsidRPr="00845B58">
        <w:rPr>
          <w:rFonts w:asciiTheme="minorHAnsi" w:hAnsiTheme="minorHAnsi" w:cstheme="minorHAnsi"/>
        </w:rPr>
        <w:t xml:space="preserve">what impact has the committee had on the improvement of governance, risk and control? </w:t>
      </w:r>
    </w:p>
    <w:p w:rsidR="00845B58" w:rsidRDefault="00845B58" w:rsidP="00845B58">
      <w:pPr>
        <w:jc w:val="both"/>
        <w:rPr>
          <w:rFonts w:asciiTheme="minorHAnsi" w:hAnsiTheme="minorHAnsi" w:cstheme="minorHAnsi"/>
        </w:rPr>
      </w:pPr>
    </w:p>
    <w:p w:rsidR="00C64057" w:rsidRDefault="00C64057" w:rsidP="00C64057">
      <w:pPr>
        <w:numPr>
          <w:ilvl w:val="1"/>
          <w:numId w:val="1"/>
        </w:numPr>
        <w:tabs>
          <w:tab w:val="num" w:pos="180"/>
        </w:tabs>
        <w:ind w:hanging="792"/>
        <w:jc w:val="both"/>
        <w:rPr>
          <w:rFonts w:asciiTheme="minorHAnsi" w:hAnsiTheme="minorHAnsi" w:cstheme="minorHAnsi"/>
        </w:rPr>
      </w:pPr>
      <w:r>
        <w:rPr>
          <w:rFonts w:ascii="Calibri" w:hAnsi="Calibri"/>
        </w:rPr>
        <w:t xml:space="preserve">Additionally, this report provides the PCC and CC with a summary of the areas of work considered </w:t>
      </w:r>
      <w:r w:rsidRPr="00B654A5">
        <w:rPr>
          <w:rFonts w:asciiTheme="minorHAnsi" w:hAnsiTheme="minorHAnsi" w:cstheme="minorHAnsi"/>
        </w:rPr>
        <w:t xml:space="preserve">by the JIAC during the year ended 31 March 2018.  This is in line with the </w:t>
      </w:r>
      <w:r>
        <w:rPr>
          <w:rFonts w:asciiTheme="minorHAnsi" w:hAnsiTheme="minorHAnsi" w:cstheme="minorHAnsi"/>
        </w:rPr>
        <w:t xml:space="preserve">CIPFA </w:t>
      </w:r>
      <w:r w:rsidRPr="00B654A5">
        <w:rPr>
          <w:rFonts w:asciiTheme="minorHAnsi" w:hAnsiTheme="minorHAnsi" w:cstheme="minorHAnsi"/>
        </w:rPr>
        <w:t>guidance that recommends that Audit Committees should report annually on how they have discharged their responsibilities.</w:t>
      </w:r>
    </w:p>
    <w:p w:rsidR="00C64057" w:rsidRPr="00B654A5" w:rsidRDefault="00C64057" w:rsidP="00C64057">
      <w:pPr>
        <w:ind w:left="792" w:firstLine="0"/>
        <w:jc w:val="both"/>
        <w:rPr>
          <w:rFonts w:asciiTheme="minorHAnsi" w:hAnsiTheme="minorHAnsi" w:cstheme="minorHAnsi"/>
        </w:rPr>
      </w:pPr>
    </w:p>
    <w:p w:rsidR="00845B58" w:rsidRDefault="00845B58" w:rsidP="00845B58">
      <w:pPr>
        <w:numPr>
          <w:ilvl w:val="1"/>
          <w:numId w:val="1"/>
        </w:numPr>
        <w:ind w:hanging="792"/>
        <w:jc w:val="both"/>
        <w:rPr>
          <w:rFonts w:ascii="Calibri" w:hAnsi="Calibri"/>
        </w:rPr>
      </w:pPr>
      <w:r w:rsidRPr="00845B58">
        <w:rPr>
          <w:rFonts w:asciiTheme="minorHAnsi" w:hAnsiTheme="minorHAnsi" w:cstheme="minorHAnsi"/>
        </w:rPr>
        <w:t xml:space="preserve">The </w:t>
      </w:r>
      <w:r w:rsidRPr="00B654A5">
        <w:rPr>
          <w:rFonts w:asciiTheme="minorHAnsi" w:hAnsiTheme="minorHAnsi" w:cstheme="minorHAnsi"/>
        </w:rPr>
        <w:t xml:space="preserve">annual report </w:t>
      </w:r>
      <w:r>
        <w:rPr>
          <w:rFonts w:asciiTheme="minorHAnsi" w:hAnsiTheme="minorHAnsi" w:cstheme="minorHAnsi"/>
        </w:rPr>
        <w:t xml:space="preserve">of JIAC </w:t>
      </w:r>
      <w:r w:rsidRPr="00B654A5">
        <w:rPr>
          <w:rFonts w:asciiTheme="minorHAnsi" w:hAnsiTheme="minorHAnsi" w:cstheme="minorHAnsi"/>
        </w:rPr>
        <w:t>for the year ended</w:t>
      </w:r>
      <w:r w:rsidRPr="0055259F">
        <w:rPr>
          <w:rFonts w:ascii="Calibri" w:hAnsi="Calibri"/>
        </w:rPr>
        <w:t xml:space="preserve"> 31 March 2017 referred to a review of JIAC arrangements </w:t>
      </w:r>
      <w:r>
        <w:rPr>
          <w:rFonts w:ascii="Calibri" w:hAnsi="Calibri"/>
        </w:rPr>
        <w:t>and recommended actions</w:t>
      </w:r>
      <w:r w:rsidRPr="0055259F">
        <w:rPr>
          <w:rFonts w:ascii="Calibri" w:hAnsi="Calibri"/>
        </w:rPr>
        <w:t xml:space="preserve"> alongside a wider review of </w:t>
      </w:r>
      <w:r>
        <w:rPr>
          <w:rFonts w:ascii="Calibri" w:hAnsi="Calibri"/>
        </w:rPr>
        <w:t xml:space="preserve">PCC and CC </w:t>
      </w:r>
      <w:r w:rsidRPr="0055259F">
        <w:rPr>
          <w:rFonts w:ascii="Calibri" w:hAnsi="Calibri"/>
        </w:rPr>
        <w:t xml:space="preserve">governance.  </w:t>
      </w:r>
      <w:r>
        <w:rPr>
          <w:rFonts w:ascii="Calibri" w:hAnsi="Calibri"/>
        </w:rPr>
        <w:t>The actions</w:t>
      </w:r>
      <w:r w:rsidRPr="0055259F">
        <w:rPr>
          <w:rFonts w:ascii="Calibri" w:hAnsi="Calibri"/>
        </w:rPr>
        <w:t xml:space="preserve"> included</w:t>
      </w:r>
      <w:r>
        <w:rPr>
          <w:rFonts w:ascii="Calibri" w:hAnsi="Calibri"/>
        </w:rPr>
        <w:t>:</w:t>
      </w:r>
    </w:p>
    <w:p w:rsidR="004868A8" w:rsidRDefault="004868A8" w:rsidP="004868A8">
      <w:pPr>
        <w:ind w:left="792" w:firstLine="0"/>
        <w:jc w:val="both"/>
        <w:rPr>
          <w:rFonts w:ascii="Calibri" w:hAnsi="Calibri"/>
        </w:rPr>
      </w:pPr>
    </w:p>
    <w:p w:rsidR="00845B58" w:rsidRDefault="00845B58" w:rsidP="00031551">
      <w:pPr>
        <w:numPr>
          <w:ilvl w:val="2"/>
          <w:numId w:val="1"/>
        </w:numPr>
        <w:ind w:left="1701" w:hanging="850"/>
        <w:jc w:val="both"/>
        <w:rPr>
          <w:rFonts w:ascii="Calibri" w:hAnsi="Calibri"/>
        </w:rPr>
      </w:pPr>
      <w:r>
        <w:rPr>
          <w:rFonts w:ascii="Calibri" w:hAnsi="Calibri"/>
        </w:rPr>
        <w:t xml:space="preserve">adoption of </w:t>
      </w:r>
      <w:r w:rsidRPr="0055259F">
        <w:rPr>
          <w:rFonts w:ascii="Calibri" w:hAnsi="Calibri"/>
        </w:rPr>
        <w:t>revised terms of reference</w:t>
      </w:r>
      <w:r>
        <w:rPr>
          <w:rFonts w:ascii="Calibri" w:hAnsi="Calibri"/>
        </w:rPr>
        <w:t xml:space="preserve"> (adopted March 2017)</w:t>
      </w:r>
    </w:p>
    <w:p w:rsidR="00845B58" w:rsidRDefault="00845B58" w:rsidP="00031551">
      <w:pPr>
        <w:numPr>
          <w:ilvl w:val="2"/>
          <w:numId w:val="1"/>
        </w:numPr>
        <w:ind w:left="1701" w:hanging="850"/>
        <w:jc w:val="both"/>
        <w:rPr>
          <w:rFonts w:ascii="Calibri" w:hAnsi="Calibri"/>
        </w:rPr>
      </w:pPr>
      <w:r w:rsidRPr="0055259F">
        <w:rPr>
          <w:rFonts w:ascii="Calibri" w:hAnsi="Calibri"/>
        </w:rPr>
        <w:t>a re</w:t>
      </w:r>
      <w:r>
        <w:rPr>
          <w:rFonts w:ascii="Calibri" w:hAnsi="Calibri"/>
        </w:rPr>
        <w:t>freshed</w:t>
      </w:r>
      <w:r w:rsidRPr="0055259F">
        <w:rPr>
          <w:rFonts w:ascii="Calibri" w:hAnsi="Calibri"/>
        </w:rPr>
        <w:t xml:space="preserve"> JIAC membership</w:t>
      </w:r>
      <w:r w:rsidR="00A2119E">
        <w:rPr>
          <w:rFonts w:ascii="Calibri" w:hAnsi="Calibri"/>
        </w:rPr>
        <w:t xml:space="preserve"> (effective from September 2017)</w:t>
      </w:r>
    </w:p>
    <w:p w:rsidR="00845B58" w:rsidRDefault="00A2119E" w:rsidP="00031551">
      <w:pPr>
        <w:numPr>
          <w:ilvl w:val="2"/>
          <w:numId w:val="1"/>
        </w:numPr>
        <w:ind w:left="1701" w:hanging="850"/>
        <w:jc w:val="both"/>
        <w:rPr>
          <w:rFonts w:ascii="Calibri" w:hAnsi="Calibri"/>
        </w:rPr>
      </w:pPr>
      <w:r w:rsidRPr="004868A8">
        <w:rPr>
          <w:rFonts w:ascii="Calibri" w:hAnsi="Calibri"/>
        </w:rPr>
        <w:t xml:space="preserve">a review of JIAC effectiveness </w:t>
      </w:r>
      <w:r w:rsidR="004868A8" w:rsidRPr="004868A8">
        <w:rPr>
          <w:rFonts w:ascii="Calibri" w:hAnsi="Calibri"/>
        </w:rPr>
        <w:t>(</w:t>
      </w:r>
      <w:r w:rsidR="004868A8">
        <w:rPr>
          <w:rFonts w:ascii="Calibri" w:hAnsi="Calibri"/>
        </w:rPr>
        <w:t xml:space="preserve">at the </w:t>
      </w:r>
      <w:r w:rsidR="00845B58" w:rsidRPr="004868A8">
        <w:rPr>
          <w:rFonts w:ascii="Calibri" w:hAnsi="Calibri"/>
        </w:rPr>
        <w:t>19 September 2017</w:t>
      </w:r>
      <w:r w:rsidR="004868A8">
        <w:rPr>
          <w:rFonts w:ascii="Calibri" w:hAnsi="Calibri"/>
        </w:rPr>
        <w:t xml:space="preserve"> meeting).</w:t>
      </w:r>
    </w:p>
    <w:p w:rsidR="00232370" w:rsidRDefault="00232370" w:rsidP="00A33D21">
      <w:pPr>
        <w:ind w:left="1701" w:firstLine="0"/>
        <w:jc w:val="both"/>
        <w:rPr>
          <w:rFonts w:ascii="Calibri" w:hAnsi="Calibri"/>
        </w:rPr>
      </w:pPr>
    </w:p>
    <w:p w:rsidR="00232370" w:rsidRPr="004868A8" w:rsidRDefault="00232370" w:rsidP="00A33D21">
      <w:pPr>
        <w:numPr>
          <w:ilvl w:val="1"/>
          <w:numId w:val="1"/>
        </w:numPr>
        <w:ind w:left="851" w:hanging="851"/>
        <w:jc w:val="both"/>
        <w:rPr>
          <w:rFonts w:ascii="Calibri" w:hAnsi="Calibri"/>
        </w:rPr>
      </w:pPr>
      <w:r>
        <w:rPr>
          <w:rFonts w:ascii="Calibri" w:hAnsi="Calibri"/>
        </w:rPr>
        <w:t xml:space="preserve">The JIAC wishes to record its thanks to the officers </w:t>
      </w:r>
      <w:r w:rsidR="001A5A9E">
        <w:rPr>
          <w:rFonts w:ascii="Calibri" w:hAnsi="Calibri"/>
        </w:rPr>
        <w:t>of the PCC and CC along with the Internal Auditors and External Auditors who have supported its work during the year.  The JIAC has received the full assistance and co-operation from officers in carrying out its work and discharging its responsibilities.</w:t>
      </w:r>
    </w:p>
    <w:p w:rsidR="00845B58" w:rsidRPr="00845B58" w:rsidRDefault="00845B58" w:rsidP="004868A8">
      <w:pPr>
        <w:spacing w:line="259" w:lineRule="auto"/>
        <w:jc w:val="both"/>
        <w:rPr>
          <w:rFonts w:asciiTheme="minorHAnsi" w:hAnsiTheme="minorHAnsi" w:cstheme="minorHAnsi"/>
        </w:rPr>
      </w:pPr>
    </w:p>
    <w:p w:rsidR="00C7179A" w:rsidRPr="00002905" w:rsidRDefault="00E434CB" w:rsidP="00C7179A">
      <w:pPr>
        <w:numPr>
          <w:ilvl w:val="0"/>
          <w:numId w:val="1"/>
        </w:numPr>
        <w:jc w:val="both"/>
        <w:rPr>
          <w:rFonts w:asciiTheme="minorHAnsi" w:hAnsiTheme="minorHAnsi" w:cstheme="minorHAnsi"/>
          <w:u w:val="single"/>
        </w:rPr>
      </w:pPr>
      <w:r w:rsidRPr="00002905">
        <w:rPr>
          <w:rFonts w:asciiTheme="minorHAnsi" w:hAnsiTheme="minorHAnsi" w:cstheme="minorHAnsi"/>
          <w:u w:val="single"/>
        </w:rPr>
        <w:t xml:space="preserve">HAS THE COMMITTEE FULFILLED ITS </w:t>
      </w:r>
      <w:r w:rsidR="00BF7D6D" w:rsidRPr="00002905">
        <w:rPr>
          <w:rFonts w:asciiTheme="minorHAnsi" w:hAnsiTheme="minorHAnsi" w:cstheme="minorHAnsi"/>
          <w:u w:val="single"/>
        </w:rPr>
        <w:t>TERMS OF REFERENCE</w:t>
      </w:r>
      <w:r w:rsidRPr="00002905">
        <w:rPr>
          <w:rFonts w:asciiTheme="minorHAnsi" w:hAnsiTheme="minorHAnsi" w:cstheme="minorHAnsi"/>
          <w:u w:val="single"/>
        </w:rPr>
        <w:t>?</w:t>
      </w:r>
    </w:p>
    <w:p w:rsidR="00C7179A" w:rsidRDefault="00C7179A" w:rsidP="00C7179A">
      <w:pPr>
        <w:ind w:left="360" w:firstLine="0"/>
        <w:jc w:val="both"/>
        <w:rPr>
          <w:rFonts w:asciiTheme="minorHAnsi" w:hAnsiTheme="minorHAnsi" w:cstheme="minorHAnsi"/>
        </w:rPr>
      </w:pPr>
    </w:p>
    <w:p w:rsidR="004868A8" w:rsidRDefault="006F757B" w:rsidP="00F33FA3">
      <w:pPr>
        <w:numPr>
          <w:ilvl w:val="1"/>
          <w:numId w:val="1"/>
        </w:numPr>
        <w:ind w:hanging="792"/>
        <w:jc w:val="both"/>
        <w:rPr>
          <w:rFonts w:asciiTheme="minorHAnsi" w:hAnsiTheme="minorHAnsi" w:cstheme="minorHAnsi"/>
        </w:rPr>
      </w:pPr>
      <w:r w:rsidRPr="00C7179A">
        <w:rPr>
          <w:rFonts w:asciiTheme="minorHAnsi" w:hAnsiTheme="minorHAnsi" w:cstheme="minorHAnsi"/>
        </w:rPr>
        <w:t xml:space="preserve">The </w:t>
      </w:r>
      <w:r w:rsidR="004868A8" w:rsidRPr="00C7179A">
        <w:rPr>
          <w:rFonts w:asciiTheme="minorHAnsi" w:hAnsiTheme="minorHAnsi" w:cstheme="minorHAnsi"/>
        </w:rPr>
        <w:t xml:space="preserve">Terms of </w:t>
      </w:r>
      <w:r w:rsidRPr="00C7179A">
        <w:rPr>
          <w:rFonts w:asciiTheme="minorHAnsi" w:hAnsiTheme="minorHAnsi" w:cstheme="minorHAnsi"/>
        </w:rPr>
        <w:t>R</w:t>
      </w:r>
      <w:r w:rsidR="004868A8" w:rsidRPr="00C7179A">
        <w:rPr>
          <w:rFonts w:asciiTheme="minorHAnsi" w:hAnsiTheme="minorHAnsi" w:cstheme="minorHAnsi"/>
        </w:rPr>
        <w:t xml:space="preserve">eference follow CIPFA guidance and are reviewed regularly.  Details can be found on the PCC website and are summarised </w:t>
      </w:r>
      <w:r w:rsidR="00A6798F">
        <w:rPr>
          <w:rFonts w:asciiTheme="minorHAnsi" w:hAnsiTheme="minorHAnsi" w:cstheme="minorHAnsi"/>
        </w:rPr>
        <w:t>in Appendix A</w:t>
      </w:r>
      <w:r w:rsidR="00F44321">
        <w:rPr>
          <w:rFonts w:asciiTheme="minorHAnsi" w:hAnsiTheme="minorHAnsi" w:cstheme="minorHAnsi"/>
        </w:rPr>
        <w:t xml:space="preserve"> </w:t>
      </w:r>
    </w:p>
    <w:p w:rsidR="00C71217" w:rsidRPr="00C71217" w:rsidRDefault="002C4A3D" w:rsidP="00C71217">
      <w:pPr>
        <w:ind w:left="792" w:firstLine="0"/>
        <w:jc w:val="both"/>
        <w:rPr>
          <w:rFonts w:asciiTheme="minorHAnsi" w:hAnsiTheme="minorHAnsi" w:cstheme="minorHAnsi"/>
          <w:i/>
        </w:rPr>
      </w:pPr>
      <w:hyperlink r:id="rId8" w:history="1">
        <w:r w:rsidR="00F44321" w:rsidRPr="00FE0952">
          <w:rPr>
            <w:rStyle w:val="Hyperlink"/>
            <w:rFonts w:asciiTheme="minorHAnsi" w:hAnsiTheme="minorHAnsi" w:cstheme="minorHAnsi"/>
            <w:i/>
          </w:rPr>
          <w:t>https://www.northyorkshire-pcc.gov.uk/police-oversight/governance/jiac/</w:t>
        </w:r>
      </w:hyperlink>
      <w:r w:rsidR="00F44321">
        <w:rPr>
          <w:rFonts w:asciiTheme="minorHAnsi" w:hAnsiTheme="minorHAnsi" w:cstheme="minorHAnsi"/>
          <w:i/>
        </w:rPr>
        <w:t xml:space="preserve"> .</w:t>
      </w:r>
    </w:p>
    <w:p w:rsidR="004868A8" w:rsidRPr="006F757B" w:rsidRDefault="004868A8" w:rsidP="00F33FA3">
      <w:pPr>
        <w:spacing w:line="259" w:lineRule="auto"/>
        <w:ind w:left="0" w:firstLine="0"/>
        <w:jc w:val="both"/>
        <w:rPr>
          <w:rFonts w:asciiTheme="minorHAnsi" w:hAnsiTheme="minorHAnsi" w:cstheme="minorHAnsi"/>
        </w:rPr>
      </w:pPr>
      <w:r w:rsidRPr="006F757B">
        <w:rPr>
          <w:rFonts w:asciiTheme="minorHAnsi" w:hAnsiTheme="minorHAnsi" w:cstheme="minorHAnsi"/>
        </w:rPr>
        <w:t xml:space="preserve"> </w:t>
      </w:r>
    </w:p>
    <w:p w:rsidR="00A6798F" w:rsidRPr="00A6798F" w:rsidRDefault="00A6798F" w:rsidP="00F33FA3">
      <w:pPr>
        <w:pStyle w:val="ListParagraph"/>
        <w:numPr>
          <w:ilvl w:val="1"/>
          <w:numId w:val="1"/>
        </w:numPr>
        <w:ind w:right="58" w:hanging="792"/>
        <w:jc w:val="both"/>
        <w:rPr>
          <w:rFonts w:asciiTheme="minorHAnsi" w:hAnsiTheme="minorHAnsi" w:cstheme="minorHAnsi"/>
        </w:rPr>
      </w:pPr>
      <w:r>
        <w:rPr>
          <w:rFonts w:asciiTheme="minorHAnsi" w:hAnsiTheme="minorHAnsi" w:cstheme="minorHAnsi"/>
        </w:rPr>
        <w:t>In brief, a</w:t>
      </w:r>
      <w:r w:rsidRPr="00A6798F">
        <w:rPr>
          <w:rFonts w:asciiTheme="minorHAnsi" w:hAnsiTheme="minorHAnsi" w:cstheme="minorHAnsi"/>
        </w:rPr>
        <w:t xml:space="preserve">udit activity is reviewed at every meeting </w:t>
      </w:r>
      <w:r>
        <w:rPr>
          <w:rFonts w:asciiTheme="minorHAnsi" w:hAnsiTheme="minorHAnsi" w:cstheme="minorHAnsi"/>
        </w:rPr>
        <w:t xml:space="preserve">of the JIAC </w:t>
      </w:r>
      <w:r w:rsidRPr="00A6798F">
        <w:rPr>
          <w:rFonts w:asciiTheme="minorHAnsi" w:hAnsiTheme="minorHAnsi" w:cstheme="minorHAnsi"/>
        </w:rPr>
        <w:t xml:space="preserve">including internal and external audit plans and reports. </w:t>
      </w:r>
      <w:r>
        <w:rPr>
          <w:rFonts w:asciiTheme="minorHAnsi" w:hAnsiTheme="minorHAnsi" w:cstheme="minorHAnsi"/>
        </w:rPr>
        <w:t xml:space="preserve"> </w:t>
      </w:r>
      <w:r w:rsidRPr="00A6798F">
        <w:rPr>
          <w:rFonts w:asciiTheme="minorHAnsi" w:hAnsiTheme="minorHAnsi" w:cstheme="minorHAnsi"/>
        </w:rPr>
        <w:t xml:space="preserve">Particular aspects of governance </w:t>
      </w:r>
      <w:r>
        <w:rPr>
          <w:rFonts w:asciiTheme="minorHAnsi" w:hAnsiTheme="minorHAnsi" w:cstheme="minorHAnsi"/>
        </w:rPr>
        <w:t>and controls are</w:t>
      </w:r>
      <w:r w:rsidRPr="00A6798F">
        <w:rPr>
          <w:rFonts w:asciiTheme="minorHAnsi" w:hAnsiTheme="minorHAnsi" w:cstheme="minorHAnsi"/>
        </w:rPr>
        <w:t xml:space="preserve"> reviewed including risk management.</w:t>
      </w:r>
      <w:r>
        <w:rPr>
          <w:rFonts w:asciiTheme="minorHAnsi" w:hAnsiTheme="minorHAnsi" w:cstheme="minorHAnsi"/>
        </w:rPr>
        <w:t xml:space="preserve"> </w:t>
      </w:r>
      <w:r w:rsidRPr="00A6798F">
        <w:rPr>
          <w:rFonts w:asciiTheme="minorHAnsi" w:hAnsiTheme="minorHAnsi" w:cstheme="minorHAnsi"/>
        </w:rPr>
        <w:t xml:space="preserve"> The </w:t>
      </w:r>
      <w:r w:rsidR="00431E41">
        <w:rPr>
          <w:rFonts w:asciiTheme="minorHAnsi" w:hAnsiTheme="minorHAnsi" w:cstheme="minorHAnsi"/>
        </w:rPr>
        <w:t xml:space="preserve">joint </w:t>
      </w:r>
      <w:r w:rsidRPr="00A6798F">
        <w:rPr>
          <w:rFonts w:asciiTheme="minorHAnsi" w:hAnsiTheme="minorHAnsi" w:cstheme="minorHAnsi"/>
        </w:rPr>
        <w:t xml:space="preserve">Annual Governance Statement will be considered at the </w:t>
      </w:r>
      <w:r w:rsidR="00EC6A53">
        <w:rPr>
          <w:rFonts w:asciiTheme="minorHAnsi" w:hAnsiTheme="minorHAnsi" w:cstheme="minorHAnsi"/>
        </w:rPr>
        <w:t>July</w:t>
      </w:r>
      <w:r w:rsidR="00EC6A53" w:rsidRPr="00A6798F">
        <w:rPr>
          <w:rFonts w:asciiTheme="minorHAnsi" w:hAnsiTheme="minorHAnsi" w:cstheme="minorHAnsi"/>
        </w:rPr>
        <w:t xml:space="preserve"> </w:t>
      </w:r>
      <w:r w:rsidRPr="00A6798F">
        <w:rPr>
          <w:rFonts w:asciiTheme="minorHAnsi" w:hAnsiTheme="minorHAnsi" w:cstheme="minorHAnsi"/>
        </w:rPr>
        <w:t>201</w:t>
      </w:r>
      <w:r>
        <w:rPr>
          <w:rFonts w:asciiTheme="minorHAnsi" w:hAnsiTheme="minorHAnsi" w:cstheme="minorHAnsi"/>
        </w:rPr>
        <w:t>8</w:t>
      </w:r>
      <w:r w:rsidRPr="00A6798F">
        <w:rPr>
          <w:rFonts w:asciiTheme="minorHAnsi" w:hAnsiTheme="minorHAnsi" w:cstheme="minorHAnsi"/>
        </w:rPr>
        <w:t xml:space="preserve"> meeting.  This meeting will also consider the annual accounts and the external auditor’s report on them</w:t>
      </w:r>
      <w:r>
        <w:rPr>
          <w:rFonts w:asciiTheme="minorHAnsi" w:hAnsiTheme="minorHAnsi" w:cstheme="minorHAnsi"/>
        </w:rPr>
        <w:t>.</w:t>
      </w:r>
      <w:r w:rsidR="0054296D">
        <w:rPr>
          <w:rFonts w:asciiTheme="minorHAnsi" w:hAnsiTheme="minorHAnsi" w:cstheme="minorHAnsi"/>
        </w:rPr>
        <w:t xml:space="preserve">  </w:t>
      </w:r>
      <w:r w:rsidR="00490B12">
        <w:rPr>
          <w:rFonts w:asciiTheme="minorHAnsi" w:hAnsiTheme="minorHAnsi" w:cstheme="minorHAnsi"/>
        </w:rPr>
        <w:t>Further details of JIAC activity are included in Appendix A.</w:t>
      </w:r>
    </w:p>
    <w:p w:rsidR="00A6798F" w:rsidRPr="00A6798F" w:rsidRDefault="00A6798F" w:rsidP="00A6798F">
      <w:pPr>
        <w:pStyle w:val="ListParagraph"/>
        <w:ind w:left="792" w:right="58" w:firstLine="0"/>
        <w:jc w:val="both"/>
        <w:rPr>
          <w:rFonts w:asciiTheme="minorHAnsi" w:hAnsiTheme="minorHAnsi" w:cstheme="minorHAnsi"/>
        </w:rPr>
      </w:pPr>
    </w:p>
    <w:p w:rsidR="004868A8" w:rsidRPr="00C7179A" w:rsidRDefault="004868A8" w:rsidP="00F33FA3">
      <w:pPr>
        <w:pStyle w:val="ListParagraph"/>
        <w:numPr>
          <w:ilvl w:val="1"/>
          <w:numId w:val="1"/>
        </w:numPr>
        <w:ind w:right="58" w:hanging="792"/>
        <w:jc w:val="both"/>
        <w:rPr>
          <w:rFonts w:asciiTheme="minorHAnsi" w:hAnsiTheme="minorHAnsi" w:cstheme="minorHAnsi"/>
        </w:rPr>
      </w:pPr>
      <w:r w:rsidRPr="00A6798F">
        <w:rPr>
          <w:rFonts w:asciiTheme="minorHAnsi" w:hAnsiTheme="minorHAnsi" w:cstheme="minorHAnsi"/>
        </w:rPr>
        <w:t>The Committee believes it has met the requirements</w:t>
      </w:r>
      <w:r w:rsidR="00A6798F">
        <w:rPr>
          <w:rFonts w:asciiTheme="minorHAnsi" w:hAnsiTheme="minorHAnsi" w:cstheme="minorHAnsi"/>
        </w:rPr>
        <w:t xml:space="preserve"> of the Terms of Reference</w:t>
      </w:r>
      <w:r w:rsidRPr="00A6798F">
        <w:rPr>
          <w:rFonts w:asciiTheme="minorHAnsi" w:hAnsiTheme="minorHAnsi" w:cstheme="minorHAnsi"/>
        </w:rPr>
        <w:t xml:space="preserve">, both in terms of relevant agenda items and the effectiveness of its review. </w:t>
      </w:r>
      <w:r w:rsidR="00C7179A" w:rsidRPr="00A6798F">
        <w:rPr>
          <w:rFonts w:asciiTheme="minorHAnsi" w:hAnsiTheme="minorHAnsi" w:cstheme="minorHAnsi"/>
        </w:rPr>
        <w:t xml:space="preserve"> </w:t>
      </w:r>
      <w:r w:rsidR="00F33FA3" w:rsidRPr="00A6798F">
        <w:rPr>
          <w:rFonts w:asciiTheme="minorHAnsi" w:hAnsiTheme="minorHAnsi" w:cstheme="minorHAnsi"/>
        </w:rPr>
        <w:t>However,</w:t>
      </w:r>
      <w:r w:rsidR="00C7179A" w:rsidRPr="00A6798F">
        <w:rPr>
          <w:rFonts w:asciiTheme="minorHAnsi" w:hAnsiTheme="minorHAnsi" w:cstheme="minorHAnsi"/>
        </w:rPr>
        <w:t xml:space="preserve"> it did not for the </w:t>
      </w:r>
      <w:r w:rsidR="00F33FA3" w:rsidRPr="00A6798F">
        <w:rPr>
          <w:rFonts w:asciiTheme="minorHAnsi" w:hAnsiTheme="minorHAnsi" w:cstheme="minorHAnsi"/>
        </w:rPr>
        <w:t>full period meet the requirements</w:t>
      </w:r>
      <w:r w:rsidR="00F33FA3">
        <w:rPr>
          <w:rFonts w:asciiTheme="minorHAnsi" w:hAnsiTheme="minorHAnsi" w:cstheme="minorHAnsi"/>
        </w:rPr>
        <w:t xml:space="preserve"> </w:t>
      </w:r>
      <w:r w:rsidR="00A6798F">
        <w:rPr>
          <w:rFonts w:asciiTheme="minorHAnsi" w:hAnsiTheme="minorHAnsi" w:cstheme="minorHAnsi"/>
        </w:rPr>
        <w:t>of</w:t>
      </w:r>
      <w:r w:rsidR="00F33FA3">
        <w:rPr>
          <w:rFonts w:asciiTheme="minorHAnsi" w:hAnsiTheme="minorHAnsi" w:cstheme="minorHAnsi"/>
        </w:rPr>
        <w:t xml:space="preserve"> the Terms of Reference for Composition of the JIAC and Quorum of </w:t>
      </w:r>
      <w:r w:rsidR="00490B12">
        <w:rPr>
          <w:rFonts w:asciiTheme="minorHAnsi" w:hAnsiTheme="minorHAnsi" w:cstheme="minorHAnsi"/>
        </w:rPr>
        <w:t>JIAC M</w:t>
      </w:r>
      <w:r w:rsidR="00F33FA3">
        <w:rPr>
          <w:rFonts w:asciiTheme="minorHAnsi" w:hAnsiTheme="minorHAnsi" w:cstheme="minorHAnsi"/>
        </w:rPr>
        <w:t>eetings.</w:t>
      </w:r>
    </w:p>
    <w:p w:rsidR="00BF7D6D" w:rsidRPr="006F757B" w:rsidRDefault="00BF7D6D" w:rsidP="00F33FA3">
      <w:pPr>
        <w:ind w:left="0" w:firstLine="0"/>
        <w:jc w:val="both"/>
        <w:rPr>
          <w:rFonts w:asciiTheme="minorHAnsi" w:hAnsiTheme="minorHAnsi" w:cstheme="minorHAnsi"/>
        </w:rPr>
      </w:pPr>
    </w:p>
    <w:p w:rsidR="009C46E5" w:rsidRPr="00F33FA3" w:rsidRDefault="00F33FA3" w:rsidP="00F33FA3">
      <w:pPr>
        <w:numPr>
          <w:ilvl w:val="1"/>
          <w:numId w:val="1"/>
        </w:numPr>
        <w:ind w:hanging="792"/>
        <w:jc w:val="both"/>
        <w:rPr>
          <w:rFonts w:asciiTheme="minorHAnsi" w:hAnsiTheme="minorHAnsi" w:cstheme="minorHAnsi"/>
          <w:u w:val="single"/>
        </w:rPr>
      </w:pPr>
      <w:r>
        <w:rPr>
          <w:rFonts w:asciiTheme="minorHAnsi" w:hAnsiTheme="minorHAnsi" w:cstheme="minorHAnsi"/>
          <w:u w:val="single"/>
        </w:rPr>
        <w:t>Committee Composition</w:t>
      </w:r>
    </w:p>
    <w:p w:rsidR="00ED4C8E" w:rsidRPr="006F757B" w:rsidRDefault="00ED4C8E" w:rsidP="00B3632C">
      <w:pPr>
        <w:ind w:left="360" w:firstLine="0"/>
        <w:jc w:val="both"/>
        <w:rPr>
          <w:rFonts w:asciiTheme="minorHAnsi" w:hAnsiTheme="minorHAnsi" w:cstheme="minorHAnsi"/>
        </w:rPr>
      </w:pPr>
    </w:p>
    <w:p w:rsidR="001A781D" w:rsidRPr="006F757B" w:rsidRDefault="00A50020" w:rsidP="00031551">
      <w:pPr>
        <w:numPr>
          <w:ilvl w:val="2"/>
          <w:numId w:val="1"/>
        </w:numPr>
        <w:ind w:left="1701" w:hanging="850"/>
        <w:jc w:val="both"/>
        <w:rPr>
          <w:rFonts w:asciiTheme="minorHAnsi" w:hAnsiTheme="minorHAnsi" w:cstheme="minorHAnsi"/>
        </w:rPr>
      </w:pPr>
      <w:r w:rsidRPr="006F757B">
        <w:rPr>
          <w:rFonts w:asciiTheme="minorHAnsi" w:hAnsiTheme="minorHAnsi" w:cstheme="minorHAnsi"/>
        </w:rPr>
        <w:t xml:space="preserve">The </w:t>
      </w:r>
      <w:r w:rsidR="0055259F" w:rsidRPr="006F757B">
        <w:rPr>
          <w:rFonts w:asciiTheme="minorHAnsi" w:hAnsiTheme="minorHAnsi" w:cstheme="minorHAnsi"/>
        </w:rPr>
        <w:t xml:space="preserve">review of JIAC arrangements referred to earlier </w:t>
      </w:r>
      <w:r w:rsidR="00E67EA3" w:rsidRPr="006F757B">
        <w:rPr>
          <w:rFonts w:asciiTheme="minorHAnsi" w:hAnsiTheme="minorHAnsi" w:cstheme="minorHAnsi"/>
        </w:rPr>
        <w:t xml:space="preserve">recommended that membership of the JIAC, including Chair, be re-advertised and a four-year maximum term implemented.  </w:t>
      </w:r>
      <w:r w:rsidR="001A781D" w:rsidRPr="006F757B">
        <w:rPr>
          <w:rFonts w:asciiTheme="minorHAnsi" w:hAnsiTheme="minorHAnsi" w:cstheme="minorHAnsi"/>
        </w:rPr>
        <w:t>Prior to t</w:t>
      </w:r>
      <w:r w:rsidR="00E67EA3" w:rsidRPr="006F757B">
        <w:rPr>
          <w:rFonts w:asciiTheme="minorHAnsi" w:hAnsiTheme="minorHAnsi" w:cstheme="minorHAnsi"/>
        </w:rPr>
        <w:t xml:space="preserve">he </w:t>
      </w:r>
      <w:r w:rsidR="00787AFC">
        <w:rPr>
          <w:rFonts w:asciiTheme="minorHAnsi" w:hAnsiTheme="minorHAnsi" w:cstheme="minorHAnsi"/>
        </w:rPr>
        <w:t>recruitment</w:t>
      </w:r>
      <w:r w:rsidR="00E67EA3" w:rsidRPr="006F757B">
        <w:rPr>
          <w:rFonts w:asciiTheme="minorHAnsi" w:hAnsiTheme="minorHAnsi" w:cstheme="minorHAnsi"/>
        </w:rPr>
        <w:t xml:space="preserve"> undertaken during</w:t>
      </w:r>
      <w:r w:rsidR="001A781D" w:rsidRPr="006F757B">
        <w:rPr>
          <w:rFonts w:asciiTheme="minorHAnsi" w:hAnsiTheme="minorHAnsi" w:cstheme="minorHAnsi"/>
        </w:rPr>
        <w:t xml:space="preserve"> the spring and summer of 2017</w:t>
      </w:r>
      <w:r w:rsidR="00E67EA3" w:rsidRPr="006F757B">
        <w:rPr>
          <w:rFonts w:asciiTheme="minorHAnsi" w:hAnsiTheme="minorHAnsi" w:cstheme="minorHAnsi"/>
        </w:rPr>
        <w:t xml:space="preserve"> </w:t>
      </w:r>
      <w:r w:rsidR="001A781D" w:rsidRPr="006F757B">
        <w:rPr>
          <w:rFonts w:asciiTheme="minorHAnsi" w:hAnsiTheme="minorHAnsi" w:cstheme="minorHAnsi"/>
        </w:rPr>
        <w:t xml:space="preserve">the membership </w:t>
      </w:r>
      <w:r w:rsidR="00787AFC">
        <w:rPr>
          <w:rFonts w:asciiTheme="minorHAnsi" w:hAnsiTheme="minorHAnsi" w:cstheme="minorHAnsi"/>
        </w:rPr>
        <w:t>f</w:t>
      </w:r>
      <w:r w:rsidR="001A781D" w:rsidRPr="006F757B">
        <w:rPr>
          <w:rFonts w:asciiTheme="minorHAnsi" w:hAnsiTheme="minorHAnsi" w:cstheme="minorHAnsi"/>
        </w:rPr>
        <w:t xml:space="preserve">or the June </w:t>
      </w:r>
      <w:r w:rsidR="001D7D14" w:rsidRPr="006F757B">
        <w:rPr>
          <w:rFonts w:asciiTheme="minorHAnsi" w:hAnsiTheme="minorHAnsi" w:cstheme="minorHAnsi"/>
        </w:rPr>
        <w:t xml:space="preserve">2017 </w:t>
      </w:r>
      <w:r w:rsidR="001A781D" w:rsidRPr="006F757B">
        <w:rPr>
          <w:rFonts w:asciiTheme="minorHAnsi" w:hAnsiTheme="minorHAnsi" w:cstheme="minorHAnsi"/>
        </w:rPr>
        <w:t xml:space="preserve">session of JIAC </w:t>
      </w:r>
      <w:r w:rsidR="00787AFC">
        <w:rPr>
          <w:rFonts w:asciiTheme="minorHAnsi" w:hAnsiTheme="minorHAnsi" w:cstheme="minorHAnsi"/>
        </w:rPr>
        <w:t>was below the recommended 5 persons as</w:t>
      </w:r>
      <w:r w:rsidR="001A781D" w:rsidRPr="006F757B">
        <w:rPr>
          <w:rFonts w:asciiTheme="minorHAnsi" w:hAnsiTheme="minorHAnsi" w:cstheme="minorHAnsi"/>
        </w:rPr>
        <w:t xml:space="preserve"> set out below:</w:t>
      </w:r>
    </w:p>
    <w:p w:rsidR="001A781D" w:rsidRPr="006F757B" w:rsidRDefault="001A781D" w:rsidP="00491DB2">
      <w:pPr>
        <w:numPr>
          <w:ilvl w:val="0"/>
          <w:numId w:val="3"/>
        </w:numPr>
        <w:ind w:left="1701" w:firstLine="0"/>
        <w:jc w:val="both"/>
        <w:rPr>
          <w:rFonts w:asciiTheme="minorHAnsi" w:hAnsiTheme="minorHAnsi" w:cstheme="minorHAnsi"/>
        </w:rPr>
      </w:pPr>
      <w:r w:rsidRPr="006F757B">
        <w:rPr>
          <w:rFonts w:asciiTheme="minorHAnsi" w:hAnsiTheme="minorHAnsi" w:cstheme="minorHAnsi"/>
        </w:rPr>
        <w:t xml:space="preserve">David Portlock </w:t>
      </w:r>
      <w:r w:rsidRPr="006F757B">
        <w:rPr>
          <w:rFonts w:asciiTheme="minorHAnsi" w:hAnsiTheme="minorHAnsi" w:cstheme="minorHAnsi"/>
        </w:rPr>
        <w:tab/>
      </w:r>
      <w:r w:rsidRPr="006F757B">
        <w:rPr>
          <w:rFonts w:asciiTheme="minorHAnsi" w:hAnsiTheme="minorHAnsi" w:cstheme="minorHAnsi"/>
        </w:rPr>
        <w:tab/>
        <w:t>Chair</w:t>
      </w:r>
    </w:p>
    <w:p w:rsidR="001A781D" w:rsidRPr="006F757B" w:rsidRDefault="001A781D" w:rsidP="00491DB2">
      <w:pPr>
        <w:numPr>
          <w:ilvl w:val="0"/>
          <w:numId w:val="3"/>
        </w:numPr>
        <w:ind w:left="1701" w:firstLine="0"/>
        <w:jc w:val="both"/>
        <w:rPr>
          <w:rFonts w:asciiTheme="minorHAnsi" w:hAnsiTheme="minorHAnsi" w:cstheme="minorHAnsi"/>
        </w:rPr>
      </w:pPr>
      <w:r w:rsidRPr="006F757B">
        <w:rPr>
          <w:rFonts w:asciiTheme="minorHAnsi" w:hAnsiTheme="minorHAnsi" w:cstheme="minorHAnsi"/>
        </w:rPr>
        <w:t>Steven Hawksworth</w:t>
      </w:r>
      <w:r w:rsidRPr="006F757B">
        <w:rPr>
          <w:rFonts w:asciiTheme="minorHAnsi" w:hAnsiTheme="minorHAnsi" w:cstheme="minorHAnsi"/>
        </w:rPr>
        <w:tab/>
      </w:r>
      <w:r w:rsidR="00F33FA3">
        <w:rPr>
          <w:rFonts w:asciiTheme="minorHAnsi" w:hAnsiTheme="minorHAnsi" w:cstheme="minorHAnsi"/>
        </w:rPr>
        <w:tab/>
      </w:r>
      <w:r w:rsidRPr="006F757B">
        <w:rPr>
          <w:rFonts w:asciiTheme="minorHAnsi" w:hAnsiTheme="minorHAnsi" w:cstheme="minorHAnsi"/>
        </w:rPr>
        <w:t>Member</w:t>
      </w:r>
    </w:p>
    <w:p w:rsidR="001A781D" w:rsidRPr="006F757B" w:rsidRDefault="001A781D" w:rsidP="00491DB2">
      <w:pPr>
        <w:numPr>
          <w:ilvl w:val="0"/>
          <w:numId w:val="3"/>
        </w:numPr>
        <w:ind w:left="1701" w:firstLine="0"/>
        <w:jc w:val="both"/>
        <w:rPr>
          <w:rFonts w:asciiTheme="minorHAnsi" w:hAnsiTheme="minorHAnsi" w:cstheme="minorHAnsi"/>
        </w:rPr>
      </w:pPr>
      <w:r w:rsidRPr="006F757B">
        <w:rPr>
          <w:rFonts w:asciiTheme="minorHAnsi" w:hAnsiTheme="minorHAnsi" w:cstheme="minorHAnsi"/>
        </w:rPr>
        <w:t>Max Thomas</w:t>
      </w:r>
      <w:r w:rsidRPr="006F757B">
        <w:rPr>
          <w:rFonts w:asciiTheme="minorHAnsi" w:hAnsiTheme="minorHAnsi" w:cstheme="minorHAnsi"/>
        </w:rPr>
        <w:tab/>
      </w:r>
      <w:r w:rsidRPr="006F757B">
        <w:rPr>
          <w:rFonts w:asciiTheme="minorHAnsi" w:hAnsiTheme="minorHAnsi" w:cstheme="minorHAnsi"/>
        </w:rPr>
        <w:tab/>
      </w:r>
      <w:r w:rsidR="00F33FA3">
        <w:rPr>
          <w:rFonts w:asciiTheme="minorHAnsi" w:hAnsiTheme="minorHAnsi" w:cstheme="minorHAnsi"/>
        </w:rPr>
        <w:tab/>
      </w:r>
      <w:r w:rsidRPr="006F757B">
        <w:rPr>
          <w:rFonts w:asciiTheme="minorHAnsi" w:hAnsiTheme="minorHAnsi" w:cstheme="minorHAnsi"/>
        </w:rPr>
        <w:t>Member</w:t>
      </w:r>
    </w:p>
    <w:p w:rsidR="00E67EA3" w:rsidRDefault="00E67EA3" w:rsidP="00031551">
      <w:pPr>
        <w:ind w:left="1418" w:hanging="567"/>
        <w:jc w:val="both"/>
        <w:rPr>
          <w:rFonts w:ascii="Calibri" w:hAnsi="Calibri"/>
        </w:rPr>
      </w:pPr>
    </w:p>
    <w:p w:rsidR="00E67EA3" w:rsidRDefault="001A781D" w:rsidP="00031551">
      <w:pPr>
        <w:numPr>
          <w:ilvl w:val="2"/>
          <w:numId w:val="1"/>
        </w:numPr>
        <w:ind w:left="1701" w:hanging="850"/>
        <w:jc w:val="both"/>
        <w:rPr>
          <w:rFonts w:ascii="Calibri" w:hAnsi="Calibri"/>
        </w:rPr>
      </w:pPr>
      <w:r>
        <w:rPr>
          <w:rFonts w:ascii="Calibri" w:hAnsi="Calibri"/>
        </w:rPr>
        <w:t xml:space="preserve">Following the successful re-advertisement of the positions a refreshed membership was established.  The revised membership </w:t>
      </w:r>
      <w:r w:rsidR="00787AFC">
        <w:rPr>
          <w:rFonts w:ascii="Calibri" w:hAnsi="Calibri"/>
        </w:rPr>
        <w:t>was</w:t>
      </w:r>
      <w:r>
        <w:rPr>
          <w:rFonts w:ascii="Calibri" w:hAnsi="Calibri"/>
        </w:rPr>
        <w:t xml:space="preserve"> configured as follows</w:t>
      </w:r>
      <w:r w:rsidR="001269DB">
        <w:rPr>
          <w:rFonts w:ascii="Calibri" w:hAnsi="Calibri"/>
        </w:rPr>
        <w:t>:</w:t>
      </w:r>
    </w:p>
    <w:p w:rsidR="00683C31" w:rsidRDefault="001269DB" w:rsidP="00683C31">
      <w:pPr>
        <w:numPr>
          <w:ilvl w:val="0"/>
          <w:numId w:val="4"/>
        </w:numPr>
        <w:ind w:left="1418" w:firstLine="283"/>
        <w:jc w:val="both"/>
        <w:rPr>
          <w:rFonts w:ascii="Calibri" w:hAnsi="Calibri"/>
        </w:rPr>
      </w:pPr>
      <w:r>
        <w:rPr>
          <w:rFonts w:ascii="Calibri" w:hAnsi="Calibri"/>
        </w:rPr>
        <w:t>Jason Brine</w:t>
      </w:r>
      <w:r>
        <w:rPr>
          <w:rFonts w:ascii="Calibri" w:hAnsi="Calibri"/>
        </w:rPr>
        <w:tab/>
      </w:r>
      <w:r>
        <w:rPr>
          <w:rFonts w:ascii="Calibri" w:hAnsi="Calibri"/>
        </w:rPr>
        <w:tab/>
      </w:r>
      <w:r w:rsidR="00F33FA3">
        <w:rPr>
          <w:rFonts w:ascii="Calibri" w:hAnsi="Calibri"/>
        </w:rPr>
        <w:tab/>
      </w:r>
      <w:r>
        <w:rPr>
          <w:rFonts w:ascii="Calibri" w:hAnsi="Calibri"/>
        </w:rPr>
        <w:t>Chair</w:t>
      </w:r>
      <w:r w:rsidR="00683C31" w:rsidRPr="00683C31">
        <w:rPr>
          <w:rFonts w:ascii="Calibri" w:hAnsi="Calibri"/>
        </w:rPr>
        <w:t xml:space="preserve"> </w:t>
      </w:r>
    </w:p>
    <w:p w:rsidR="001269DB" w:rsidRPr="00683C31" w:rsidRDefault="00683C31" w:rsidP="00683C31">
      <w:pPr>
        <w:numPr>
          <w:ilvl w:val="0"/>
          <w:numId w:val="4"/>
        </w:numPr>
        <w:ind w:left="1418" w:firstLine="283"/>
        <w:jc w:val="both"/>
        <w:rPr>
          <w:rFonts w:ascii="Calibri" w:hAnsi="Calibri"/>
        </w:rPr>
      </w:pPr>
      <w:r>
        <w:rPr>
          <w:rFonts w:ascii="Calibri" w:hAnsi="Calibri"/>
        </w:rPr>
        <w:t>Heather Cook</w:t>
      </w:r>
      <w:r>
        <w:rPr>
          <w:rFonts w:ascii="Calibri" w:hAnsi="Calibri"/>
        </w:rPr>
        <w:tab/>
      </w:r>
      <w:r>
        <w:rPr>
          <w:rFonts w:ascii="Calibri" w:hAnsi="Calibri"/>
        </w:rPr>
        <w:tab/>
      </w:r>
      <w:r>
        <w:rPr>
          <w:rFonts w:ascii="Calibri" w:hAnsi="Calibri"/>
        </w:rPr>
        <w:tab/>
        <w:t>Member</w:t>
      </w:r>
    </w:p>
    <w:p w:rsidR="001269DB" w:rsidRDefault="001269DB" w:rsidP="00683C31">
      <w:pPr>
        <w:numPr>
          <w:ilvl w:val="0"/>
          <w:numId w:val="4"/>
        </w:numPr>
        <w:ind w:left="1418" w:firstLine="283"/>
        <w:jc w:val="both"/>
        <w:rPr>
          <w:rFonts w:ascii="Calibri" w:hAnsi="Calibri"/>
        </w:rPr>
      </w:pPr>
      <w:r>
        <w:rPr>
          <w:rFonts w:ascii="Calibri" w:hAnsi="Calibri"/>
        </w:rPr>
        <w:t>Pauline Fox</w:t>
      </w:r>
      <w:r>
        <w:rPr>
          <w:rFonts w:ascii="Calibri" w:hAnsi="Calibri"/>
        </w:rPr>
        <w:tab/>
      </w:r>
      <w:r>
        <w:rPr>
          <w:rFonts w:ascii="Calibri" w:hAnsi="Calibri"/>
        </w:rPr>
        <w:tab/>
      </w:r>
      <w:r w:rsidR="00F33FA3">
        <w:rPr>
          <w:rFonts w:ascii="Calibri" w:hAnsi="Calibri"/>
        </w:rPr>
        <w:tab/>
      </w:r>
      <w:r>
        <w:rPr>
          <w:rFonts w:ascii="Calibri" w:hAnsi="Calibri"/>
        </w:rPr>
        <w:t>Member</w:t>
      </w:r>
    </w:p>
    <w:p w:rsidR="001269DB" w:rsidRDefault="001269DB" w:rsidP="00491DB2">
      <w:pPr>
        <w:numPr>
          <w:ilvl w:val="0"/>
          <w:numId w:val="4"/>
        </w:numPr>
        <w:ind w:left="1418" w:firstLine="283"/>
        <w:jc w:val="both"/>
        <w:rPr>
          <w:rFonts w:ascii="Calibri" w:hAnsi="Calibri"/>
        </w:rPr>
      </w:pPr>
      <w:r>
        <w:rPr>
          <w:rFonts w:ascii="Calibri" w:hAnsi="Calibri"/>
        </w:rPr>
        <w:t>Max Thomas</w:t>
      </w:r>
      <w:r>
        <w:rPr>
          <w:rFonts w:ascii="Calibri" w:hAnsi="Calibri"/>
        </w:rPr>
        <w:tab/>
      </w:r>
      <w:r>
        <w:rPr>
          <w:rFonts w:ascii="Calibri" w:hAnsi="Calibri"/>
        </w:rPr>
        <w:tab/>
      </w:r>
      <w:r w:rsidR="00F33FA3">
        <w:rPr>
          <w:rFonts w:ascii="Calibri" w:hAnsi="Calibri"/>
        </w:rPr>
        <w:tab/>
      </w:r>
      <w:r>
        <w:rPr>
          <w:rFonts w:ascii="Calibri" w:hAnsi="Calibri"/>
        </w:rPr>
        <w:t>Member</w:t>
      </w:r>
    </w:p>
    <w:p w:rsidR="00E434CB" w:rsidRDefault="00E434CB" w:rsidP="00031551">
      <w:pPr>
        <w:ind w:left="1418" w:hanging="567"/>
        <w:jc w:val="both"/>
        <w:rPr>
          <w:rFonts w:ascii="Calibri" w:hAnsi="Calibri"/>
        </w:rPr>
      </w:pPr>
    </w:p>
    <w:p w:rsidR="00E434CB" w:rsidRPr="00F33FA3" w:rsidRDefault="00E434CB" w:rsidP="00031551">
      <w:pPr>
        <w:pStyle w:val="ListParagraph"/>
        <w:numPr>
          <w:ilvl w:val="2"/>
          <w:numId w:val="1"/>
        </w:numPr>
        <w:ind w:left="1701" w:hanging="850"/>
        <w:jc w:val="both"/>
        <w:rPr>
          <w:rFonts w:ascii="Calibri" w:hAnsi="Calibri"/>
        </w:rPr>
      </w:pPr>
      <w:r w:rsidRPr="00F33FA3">
        <w:rPr>
          <w:rFonts w:ascii="Calibri" w:hAnsi="Calibri"/>
        </w:rPr>
        <w:t>Helen Fowler was appointed</w:t>
      </w:r>
      <w:r w:rsidR="00F33FA3">
        <w:rPr>
          <w:rFonts w:ascii="Calibri" w:hAnsi="Calibri"/>
        </w:rPr>
        <w:t xml:space="preserve"> after the </w:t>
      </w:r>
      <w:r w:rsidR="00683C31">
        <w:rPr>
          <w:rFonts w:ascii="Calibri" w:hAnsi="Calibri"/>
        </w:rPr>
        <w:t xml:space="preserve">financial </w:t>
      </w:r>
      <w:r w:rsidR="00F33FA3">
        <w:rPr>
          <w:rFonts w:ascii="Calibri" w:hAnsi="Calibri"/>
        </w:rPr>
        <w:t>year end</w:t>
      </w:r>
      <w:r w:rsidRPr="00F33FA3">
        <w:rPr>
          <w:rFonts w:ascii="Calibri" w:hAnsi="Calibri"/>
        </w:rPr>
        <w:t xml:space="preserve"> as an additional Member of the JIAC</w:t>
      </w:r>
      <w:r w:rsidR="00F33FA3">
        <w:rPr>
          <w:rFonts w:ascii="Calibri" w:hAnsi="Calibri"/>
        </w:rPr>
        <w:t xml:space="preserve"> completing the composition requirements set out in the Terms of Reference.</w:t>
      </w:r>
    </w:p>
    <w:p w:rsidR="008E426B" w:rsidRDefault="008E426B" w:rsidP="001269DB">
      <w:pPr>
        <w:ind w:left="0" w:firstLine="0"/>
        <w:jc w:val="both"/>
        <w:rPr>
          <w:rFonts w:ascii="Calibri" w:hAnsi="Calibri"/>
        </w:rPr>
      </w:pPr>
    </w:p>
    <w:p w:rsidR="00F33FA3" w:rsidRPr="00F33FA3" w:rsidRDefault="00F33FA3" w:rsidP="000C563C">
      <w:pPr>
        <w:numPr>
          <w:ilvl w:val="1"/>
          <w:numId w:val="1"/>
        </w:numPr>
        <w:ind w:hanging="792"/>
        <w:jc w:val="both"/>
        <w:rPr>
          <w:rFonts w:ascii="Calibri" w:hAnsi="Calibri"/>
        </w:rPr>
      </w:pPr>
      <w:r>
        <w:rPr>
          <w:rFonts w:ascii="Calibri" w:hAnsi="Calibri"/>
          <w:u w:val="single"/>
        </w:rPr>
        <w:t>Quorum at JIAC Meetings</w:t>
      </w:r>
    </w:p>
    <w:p w:rsidR="00F33FA3" w:rsidRPr="00F33FA3" w:rsidRDefault="00F33FA3" w:rsidP="00F33FA3">
      <w:pPr>
        <w:ind w:left="792" w:firstLine="0"/>
        <w:jc w:val="both"/>
        <w:rPr>
          <w:rFonts w:ascii="Calibri" w:hAnsi="Calibri"/>
        </w:rPr>
      </w:pPr>
    </w:p>
    <w:p w:rsidR="00F33FA3" w:rsidRPr="00F33FA3" w:rsidRDefault="000C563C" w:rsidP="00C64057">
      <w:pPr>
        <w:ind w:left="851" w:firstLine="0"/>
        <w:jc w:val="both"/>
        <w:rPr>
          <w:rFonts w:ascii="Calibri" w:hAnsi="Calibri"/>
        </w:rPr>
      </w:pPr>
      <w:r w:rsidRPr="00F33FA3">
        <w:rPr>
          <w:rFonts w:ascii="Calibri" w:hAnsi="Calibri"/>
        </w:rPr>
        <w:t xml:space="preserve">Following the review of </w:t>
      </w:r>
      <w:r w:rsidR="00F33FA3" w:rsidRPr="006F757B">
        <w:rPr>
          <w:rFonts w:asciiTheme="minorHAnsi" w:hAnsiTheme="minorHAnsi" w:cstheme="minorHAnsi"/>
        </w:rPr>
        <w:t>JIAC arrangements</w:t>
      </w:r>
      <w:r w:rsidR="00F33FA3">
        <w:rPr>
          <w:rFonts w:asciiTheme="minorHAnsi" w:hAnsiTheme="minorHAnsi" w:cstheme="minorHAnsi"/>
        </w:rPr>
        <w:t xml:space="preserve"> and subsequent appointments</w:t>
      </w:r>
      <w:r w:rsidRPr="00F33FA3">
        <w:rPr>
          <w:rFonts w:ascii="Calibri" w:hAnsi="Calibri"/>
        </w:rPr>
        <w:t xml:space="preserve"> it can be reported that </w:t>
      </w:r>
      <w:r w:rsidR="00F33FA3">
        <w:rPr>
          <w:rFonts w:ascii="Calibri" w:hAnsi="Calibri"/>
        </w:rPr>
        <w:t xml:space="preserve">the </w:t>
      </w:r>
      <w:r w:rsidRPr="00F33FA3">
        <w:rPr>
          <w:rFonts w:ascii="Calibri" w:hAnsi="Calibri"/>
        </w:rPr>
        <w:t xml:space="preserve">JIAC was quorate in </w:t>
      </w:r>
      <w:r w:rsidR="00787AFC" w:rsidRPr="00F33FA3">
        <w:rPr>
          <w:rFonts w:ascii="Calibri" w:hAnsi="Calibri"/>
        </w:rPr>
        <w:t>all</w:t>
      </w:r>
      <w:r w:rsidR="00F33FA3">
        <w:rPr>
          <w:rFonts w:ascii="Calibri" w:hAnsi="Calibri"/>
        </w:rPr>
        <w:t xml:space="preserve"> its meetings however, </w:t>
      </w:r>
      <w:r w:rsidRPr="00F33FA3">
        <w:rPr>
          <w:rFonts w:ascii="Calibri" w:hAnsi="Calibri"/>
        </w:rPr>
        <w:t>the first of its sessions during 2017-18</w:t>
      </w:r>
      <w:r w:rsidR="00F33FA3">
        <w:rPr>
          <w:rFonts w:ascii="Calibri" w:hAnsi="Calibri"/>
        </w:rPr>
        <w:t xml:space="preserve"> </w:t>
      </w:r>
      <w:r w:rsidR="00787AFC">
        <w:rPr>
          <w:rFonts w:ascii="Calibri" w:hAnsi="Calibri"/>
        </w:rPr>
        <w:t xml:space="preserve">in June 2017 </w:t>
      </w:r>
      <w:r w:rsidR="00F33FA3">
        <w:rPr>
          <w:rFonts w:ascii="Calibri" w:hAnsi="Calibri"/>
        </w:rPr>
        <w:t>was not quorate</w:t>
      </w:r>
      <w:r w:rsidRPr="00F33FA3">
        <w:rPr>
          <w:rFonts w:ascii="Calibri" w:hAnsi="Calibri"/>
        </w:rPr>
        <w:t xml:space="preserve">. </w:t>
      </w:r>
    </w:p>
    <w:p w:rsidR="00A97124" w:rsidRPr="009261BD" w:rsidRDefault="00A97124" w:rsidP="009261BD">
      <w:pPr>
        <w:ind w:left="0" w:firstLine="0"/>
        <w:jc w:val="both"/>
        <w:rPr>
          <w:rFonts w:asciiTheme="minorHAnsi" w:hAnsiTheme="minorHAnsi" w:cstheme="minorHAnsi"/>
        </w:rPr>
      </w:pPr>
    </w:p>
    <w:p w:rsidR="00A6798F" w:rsidRPr="00002905" w:rsidRDefault="00A6798F" w:rsidP="009261BD">
      <w:pPr>
        <w:numPr>
          <w:ilvl w:val="0"/>
          <w:numId w:val="1"/>
        </w:numPr>
        <w:jc w:val="both"/>
        <w:rPr>
          <w:rFonts w:asciiTheme="minorHAnsi" w:hAnsiTheme="minorHAnsi" w:cstheme="minorHAnsi"/>
          <w:u w:val="single"/>
        </w:rPr>
      </w:pPr>
      <w:r w:rsidRPr="00002905">
        <w:rPr>
          <w:rFonts w:asciiTheme="minorHAnsi" w:hAnsiTheme="minorHAnsi" w:cstheme="minorHAnsi"/>
          <w:u w:val="single"/>
        </w:rPr>
        <w:t xml:space="preserve">HAS THE JIAC ADOPTED RECOMMENDED </w:t>
      </w:r>
      <w:r w:rsidR="00C64057">
        <w:rPr>
          <w:rFonts w:asciiTheme="minorHAnsi" w:hAnsiTheme="minorHAnsi" w:cstheme="minorHAnsi"/>
          <w:u w:val="single"/>
        </w:rPr>
        <w:t xml:space="preserve">GOOD </w:t>
      </w:r>
      <w:r w:rsidRPr="00002905">
        <w:rPr>
          <w:rFonts w:asciiTheme="minorHAnsi" w:hAnsiTheme="minorHAnsi" w:cstheme="minorHAnsi"/>
          <w:u w:val="single"/>
        </w:rPr>
        <w:t>PRACTICE?</w:t>
      </w:r>
    </w:p>
    <w:p w:rsidR="00A6798F" w:rsidRPr="009261BD" w:rsidRDefault="00A6798F" w:rsidP="009261BD">
      <w:pPr>
        <w:ind w:left="360" w:firstLine="0"/>
        <w:jc w:val="both"/>
        <w:rPr>
          <w:rFonts w:asciiTheme="minorHAnsi" w:hAnsiTheme="minorHAnsi" w:cstheme="minorHAnsi"/>
        </w:rPr>
      </w:pPr>
    </w:p>
    <w:p w:rsidR="009261BD" w:rsidRDefault="00482650" w:rsidP="00B50FA9">
      <w:pPr>
        <w:pStyle w:val="ListParagraph"/>
        <w:numPr>
          <w:ilvl w:val="1"/>
          <w:numId w:val="1"/>
        </w:numPr>
        <w:spacing w:line="259" w:lineRule="auto"/>
        <w:ind w:hanging="792"/>
        <w:jc w:val="both"/>
        <w:rPr>
          <w:rFonts w:asciiTheme="minorHAnsi" w:hAnsiTheme="minorHAnsi" w:cstheme="minorHAnsi"/>
        </w:rPr>
      </w:pPr>
      <w:r>
        <w:rPr>
          <w:rFonts w:asciiTheme="minorHAnsi" w:hAnsiTheme="minorHAnsi" w:cstheme="minorHAnsi"/>
        </w:rPr>
        <w:t>T</w:t>
      </w:r>
      <w:r w:rsidR="009261BD" w:rsidRPr="009261BD">
        <w:rPr>
          <w:rFonts w:asciiTheme="minorHAnsi" w:hAnsiTheme="minorHAnsi" w:cstheme="minorHAnsi"/>
        </w:rPr>
        <w:t xml:space="preserve">he Committee </w:t>
      </w:r>
      <w:r>
        <w:rPr>
          <w:rFonts w:asciiTheme="minorHAnsi" w:hAnsiTheme="minorHAnsi" w:cstheme="minorHAnsi"/>
        </w:rPr>
        <w:t xml:space="preserve">has </w:t>
      </w:r>
      <w:r w:rsidR="009261BD" w:rsidRPr="009261BD">
        <w:rPr>
          <w:rFonts w:asciiTheme="minorHAnsi" w:hAnsiTheme="minorHAnsi" w:cstheme="minorHAnsi"/>
        </w:rPr>
        <w:t xml:space="preserve">reviewed its performance against good practices identified by CIPFA. There are some areas where improvements can be made </w:t>
      </w:r>
      <w:r w:rsidR="009261BD" w:rsidRPr="00B50FA9">
        <w:rPr>
          <w:rFonts w:asciiTheme="minorHAnsi" w:hAnsiTheme="minorHAnsi" w:cstheme="minorHAnsi"/>
        </w:rPr>
        <w:t>(Appendix B) but the review shows the Committee is following good practice in the way it operates.</w:t>
      </w:r>
    </w:p>
    <w:p w:rsidR="00932C79" w:rsidRDefault="00932C79" w:rsidP="00A33D21">
      <w:pPr>
        <w:pStyle w:val="ListParagraph"/>
        <w:spacing w:line="259" w:lineRule="auto"/>
        <w:ind w:left="792" w:firstLine="0"/>
        <w:jc w:val="both"/>
        <w:rPr>
          <w:rFonts w:asciiTheme="minorHAnsi" w:hAnsiTheme="minorHAnsi" w:cstheme="minorHAnsi"/>
        </w:rPr>
      </w:pPr>
    </w:p>
    <w:p w:rsidR="00932C79" w:rsidRDefault="00932C79" w:rsidP="00B50FA9">
      <w:pPr>
        <w:pStyle w:val="ListParagraph"/>
        <w:numPr>
          <w:ilvl w:val="1"/>
          <w:numId w:val="1"/>
        </w:numPr>
        <w:spacing w:line="259" w:lineRule="auto"/>
        <w:ind w:hanging="792"/>
        <w:jc w:val="both"/>
        <w:rPr>
          <w:rFonts w:asciiTheme="minorHAnsi" w:hAnsiTheme="minorHAnsi" w:cstheme="minorHAnsi"/>
        </w:rPr>
      </w:pPr>
      <w:r>
        <w:rPr>
          <w:rFonts w:asciiTheme="minorHAnsi" w:hAnsiTheme="minorHAnsi" w:cstheme="minorHAnsi"/>
        </w:rPr>
        <w:t xml:space="preserve">Since the review of JIAC arrangements and the establishment of the refreshed committee feedback has not yet been obtained on its effectiveness.  The JIAC will consider how to obtain this feedback during 2018-19. </w:t>
      </w:r>
    </w:p>
    <w:p w:rsidR="00932C79" w:rsidRDefault="00932C79" w:rsidP="00A33D21">
      <w:pPr>
        <w:pStyle w:val="ListParagraph"/>
        <w:spacing w:line="259" w:lineRule="auto"/>
        <w:ind w:left="792" w:firstLine="0"/>
        <w:jc w:val="both"/>
        <w:rPr>
          <w:rFonts w:asciiTheme="minorHAnsi" w:hAnsiTheme="minorHAnsi" w:cstheme="minorHAnsi"/>
        </w:rPr>
      </w:pPr>
    </w:p>
    <w:p w:rsidR="00932C79" w:rsidRPr="009261BD" w:rsidRDefault="00932C79" w:rsidP="00A33D21">
      <w:pPr>
        <w:numPr>
          <w:ilvl w:val="1"/>
          <w:numId w:val="1"/>
        </w:numPr>
        <w:ind w:hanging="792"/>
        <w:jc w:val="both"/>
        <w:rPr>
          <w:rFonts w:asciiTheme="minorHAnsi" w:hAnsiTheme="minorHAnsi" w:cstheme="minorHAnsi"/>
        </w:rPr>
      </w:pPr>
      <w:r>
        <w:rPr>
          <w:rFonts w:ascii="Calibri" w:hAnsi="Calibri"/>
        </w:rPr>
        <w:t xml:space="preserve">Each </w:t>
      </w:r>
      <w:r w:rsidRPr="009261BD">
        <w:rPr>
          <w:rFonts w:asciiTheme="minorHAnsi" w:hAnsiTheme="minorHAnsi" w:cstheme="minorHAnsi"/>
        </w:rPr>
        <w:t>member of the JIAC has completed Police Vetting and declared any interests in the business of the JIAC.  Declarations of interest are included as a standing agenda item.</w:t>
      </w:r>
    </w:p>
    <w:p w:rsidR="00B50FA9" w:rsidRPr="00932C79" w:rsidRDefault="00B50FA9" w:rsidP="00932C79">
      <w:pPr>
        <w:spacing w:line="259" w:lineRule="auto"/>
        <w:ind w:left="0" w:firstLine="0"/>
        <w:jc w:val="both"/>
        <w:rPr>
          <w:rFonts w:asciiTheme="minorHAnsi" w:hAnsiTheme="minorHAnsi" w:cstheme="minorHAnsi"/>
        </w:rPr>
      </w:pPr>
    </w:p>
    <w:p w:rsidR="00B50FA9" w:rsidRPr="00002905" w:rsidRDefault="00B50FA9" w:rsidP="00B50FA9">
      <w:pPr>
        <w:pStyle w:val="ListParagraph"/>
        <w:numPr>
          <w:ilvl w:val="0"/>
          <w:numId w:val="1"/>
        </w:numPr>
        <w:spacing w:line="250" w:lineRule="auto"/>
        <w:jc w:val="both"/>
        <w:rPr>
          <w:rFonts w:asciiTheme="minorHAnsi" w:hAnsiTheme="minorHAnsi" w:cstheme="minorHAnsi"/>
          <w:u w:val="single"/>
        </w:rPr>
      </w:pPr>
      <w:r w:rsidRPr="00002905">
        <w:rPr>
          <w:rFonts w:asciiTheme="minorHAnsi" w:eastAsia="Arial" w:hAnsiTheme="minorHAnsi" w:cstheme="minorHAnsi"/>
          <w:u w:val="single"/>
        </w:rPr>
        <w:t>HAVE THE DEVELOPMENT NEEDS OF COMMITTEE MEMBERS BEEN ASSESSED AND ARE THEY ACCESSING BRIEFING AND TRAINING OPPORTUNITIES?</w:t>
      </w:r>
    </w:p>
    <w:p w:rsidR="00B50FA9" w:rsidRPr="00B50FA9" w:rsidRDefault="00B50FA9" w:rsidP="00B50FA9">
      <w:pPr>
        <w:pStyle w:val="ListParagraph"/>
        <w:spacing w:line="250" w:lineRule="auto"/>
        <w:ind w:left="360" w:firstLine="0"/>
        <w:jc w:val="both"/>
        <w:rPr>
          <w:rFonts w:asciiTheme="minorHAnsi" w:hAnsiTheme="minorHAnsi" w:cstheme="minorHAnsi"/>
        </w:rPr>
      </w:pPr>
    </w:p>
    <w:p w:rsidR="00002905" w:rsidRDefault="00002905" w:rsidP="00002905">
      <w:pPr>
        <w:pStyle w:val="ListParagraph"/>
        <w:numPr>
          <w:ilvl w:val="1"/>
          <w:numId w:val="1"/>
        </w:numPr>
        <w:ind w:left="709" w:right="58" w:hanging="709"/>
        <w:jc w:val="both"/>
        <w:rPr>
          <w:rFonts w:asciiTheme="minorHAnsi" w:hAnsiTheme="minorHAnsi" w:cstheme="minorHAnsi"/>
        </w:rPr>
      </w:pPr>
      <w:r w:rsidRPr="00B50FA9">
        <w:rPr>
          <w:rFonts w:asciiTheme="minorHAnsi" w:hAnsiTheme="minorHAnsi" w:cstheme="minorHAnsi"/>
        </w:rPr>
        <w:t xml:space="preserve">Members have received briefings in </w:t>
      </w:r>
      <w:r w:rsidR="00787AFC" w:rsidRPr="00B50FA9">
        <w:rPr>
          <w:rFonts w:asciiTheme="minorHAnsi" w:hAnsiTheme="minorHAnsi" w:cstheme="minorHAnsi"/>
        </w:rPr>
        <w:t>several</w:t>
      </w:r>
      <w:r w:rsidRPr="00B50FA9">
        <w:rPr>
          <w:rFonts w:asciiTheme="minorHAnsi" w:hAnsiTheme="minorHAnsi" w:cstheme="minorHAnsi"/>
        </w:rPr>
        <w:t xml:space="preserve"> areas during 201</w:t>
      </w:r>
      <w:r>
        <w:rPr>
          <w:rFonts w:asciiTheme="minorHAnsi" w:hAnsiTheme="minorHAnsi" w:cstheme="minorHAnsi"/>
        </w:rPr>
        <w:t>7</w:t>
      </w:r>
      <w:r w:rsidRPr="00B50FA9">
        <w:rPr>
          <w:rFonts w:asciiTheme="minorHAnsi" w:hAnsiTheme="minorHAnsi" w:cstheme="minorHAnsi"/>
        </w:rPr>
        <w:t>-1</w:t>
      </w:r>
      <w:r>
        <w:rPr>
          <w:rFonts w:asciiTheme="minorHAnsi" w:hAnsiTheme="minorHAnsi" w:cstheme="minorHAnsi"/>
        </w:rPr>
        <w:t>8</w:t>
      </w:r>
      <w:r w:rsidRPr="00B50FA9">
        <w:rPr>
          <w:rFonts w:asciiTheme="minorHAnsi" w:hAnsiTheme="minorHAnsi" w:cstheme="minorHAnsi"/>
        </w:rPr>
        <w:t>, based on current issues and areas they identified themselves.</w:t>
      </w:r>
      <w:r>
        <w:rPr>
          <w:rFonts w:asciiTheme="minorHAnsi" w:hAnsiTheme="minorHAnsi" w:cstheme="minorHAnsi"/>
        </w:rPr>
        <w:t xml:space="preserve"> </w:t>
      </w:r>
      <w:r w:rsidRPr="00B50FA9">
        <w:rPr>
          <w:rFonts w:asciiTheme="minorHAnsi" w:hAnsiTheme="minorHAnsi" w:cstheme="minorHAnsi"/>
        </w:rPr>
        <w:t xml:space="preserve"> Issues covered included </w:t>
      </w:r>
      <w:r>
        <w:rPr>
          <w:rFonts w:asciiTheme="minorHAnsi" w:hAnsiTheme="minorHAnsi" w:cstheme="minorHAnsi"/>
        </w:rPr>
        <w:t xml:space="preserve">background and introduction from Internal and External Audit, </w:t>
      </w:r>
      <w:r w:rsidRPr="00B50FA9">
        <w:rPr>
          <w:rFonts w:asciiTheme="minorHAnsi" w:hAnsiTheme="minorHAnsi" w:cstheme="minorHAnsi"/>
        </w:rPr>
        <w:t>the</w:t>
      </w:r>
      <w:r>
        <w:rPr>
          <w:rFonts w:asciiTheme="minorHAnsi" w:hAnsiTheme="minorHAnsi" w:cstheme="minorHAnsi"/>
        </w:rPr>
        <w:t xml:space="preserve"> governance and risk strategy, methodology behind the Annual Governance Statement, organisational response to HMICFRS inspections and background to the annual ac</w:t>
      </w:r>
      <w:r w:rsidRPr="00B50FA9">
        <w:rPr>
          <w:rFonts w:asciiTheme="minorHAnsi" w:hAnsiTheme="minorHAnsi" w:cstheme="minorHAnsi"/>
        </w:rPr>
        <w:t xml:space="preserve">counts. </w:t>
      </w:r>
    </w:p>
    <w:p w:rsidR="00002905" w:rsidRPr="00B50FA9" w:rsidRDefault="00002905" w:rsidP="00002905">
      <w:pPr>
        <w:pStyle w:val="ListParagraph"/>
        <w:ind w:left="709" w:right="58" w:firstLine="0"/>
        <w:jc w:val="both"/>
        <w:rPr>
          <w:rFonts w:asciiTheme="minorHAnsi" w:hAnsiTheme="minorHAnsi" w:cstheme="minorHAnsi"/>
        </w:rPr>
      </w:pPr>
    </w:p>
    <w:p w:rsidR="00B50FA9" w:rsidRPr="00B50FA9" w:rsidRDefault="00B50FA9" w:rsidP="00002905">
      <w:pPr>
        <w:pStyle w:val="ListParagraph"/>
        <w:numPr>
          <w:ilvl w:val="1"/>
          <w:numId w:val="1"/>
        </w:numPr>
        <w:spacing w:line="250" w:lineRule="auto"/>
        <w:ind w:left="709" w:hanging="709"/>
        <w:jc w:val="both"/>
        <w:rPr>
          <w:rFonts w:asciiTheme="minorHAnsi" w:hAnsiTheme="minorHAnsi" w:cstheme="minorHAnsi"/>
        </w:rPr>
      </w:pPr>
      <w:r w:rsidRPr="00B50FA9">
        <w:rPr>
          <w:rFonts w:ascii="Calibri" w:hAnsi="Calibri"/>
        </w:rPr>
        <w:t>During the year one or more Members attended the following updates and workshops:</w:t>
      </w:r>
    </w:p>
    <w:p w:rsidR="00B50FA9" w:rsidRDefault="00B50FA9" w:rsidP="00491DB2">
      <w:pPr>
        <w:numPr>
          <w:ilvl w:val="0"/>
          <w:numId w:val="2"/>
        </w:numPr>
        <w:ind w:left="1701" w:hanging="981"/>
        <w:jc w:val="both"/>
        <w:rPr>
          <w:rFonts w:ascii="Calibri" w:hAnsi="Calibri"/>
        </w:rPr>
      </w:pPr>
      <w:r>
        <w:rPr>
          <w:rFonts w:ascii="Calibri" w:hAnsi="Calibri"/>
        </w:rPr>
        <w:t>September 2017 – CIPFA Development Day for Police Audit Committee Members</w:t>
      </w:r>
    </w:p>
    <w:p w:rsidR="00C64057" w:rsidRDefault="00C64057" w:rsidP="00C64057">
      <w:pPr>
        <w:ind w:left="720" w:firstLine="0"/>
        <w:jc w:val="both"/>
        <w:rPr>
          <w:rFonts w:ascii="Calibri" w:hAnsi="Calibri"/>
        </w:rPr>
      </w:pPr>
      <w:r>
        <w:rPr>
          <w:rFonts w:ascii="Calibri" w:hAnsi="Calibri"/>
        </w:rPr>
        <w:t>The Members are committed to continued development and will access appropriate briefing and training opportunities in 2018-19.</w:t>
      </w:r>
    </w:p>
    <w:p w:rsidR="00B50FA9" w:rsidRDefault="00B50FA9" w:rsidP="00B50FA9">
      <w:pPr>
        <w:pStyle w:val="ListParagraph"/>
        <w:ind w:left="709" w:right="58" w:firstLine="0"/>
        <w:jc w:val="both"/>
        <w:rPr>
          <w:rFonts w:asciiTheme="minorHAnsi" w:hAnsiTheme="minorHAnsi" w:cstheme="minorHAnsi"/>
        </w:rPr>
      </w:pPr>
    </w:p>
    <w:p w:rsidR="00C71217" w:rsidRDefault="00B50FA9" w:rsidP="00C71217">
      <w:pPr>
        <w:pStyle w:val="ListParagraph"/>
        <w:numPr>
          <w:ilvl w:val="1"/>
          <w:numId w:val="1"/>
        </w:numPr>
        <w:ind w:left="709" w:right="58" w:hanging="709"/>
        <w:jc w:val="both"/>
        <w:rPr>
          <w:rFonts w:asciiTheme="minorHAnsi" w:hAnsiTheme="minorHAnsi" w:cstheme="minorHAnsi"/>
        </w:rPr>
      </w:pPr>
      <w:r w:rsidRPr="00B50FA9">
        <w:rPr>
          <w:rFonts w:asciiTheme="minorHAnsi" w:hAnsiTheme="minorHAnsi" w:cstheme="minorHAnsi"/>
        </w:rPr>
        <w:t>Committee members have assessed themselves against CIPFA’s knowledge and skills framework (</w:t>
      </w:r>
      <w:r>
        <w:rPr>
          <w:rFonts w:asciiTheme="minorHAnsi" w:hAnsiTheme="minorHAnsi" w:cstheme="minorHAnsi"/>
        </w:rPr>
        <w:t>A</w:t>
      </w:r>
      <w:r w:rsidRPr="00B50FA9">
        <w:rPr>
          <w:rFonts w:asciiTheme="minorHAnsi" w:hAnsiTheme="minorHAnsi" w:cstheme="minorHAnsi"/>
        </w:rPr>
        <w:t xml:space="preserve">ppendix </w:t>
      </w:r>
      <w:r w:rsidR="00FA748F">
        <w:rPr>
          <w:rFonts w:asciiTheme="minorHAnsi" w:hAnsiTheme="minorHAnsi" w:cstheme="minorHAnsi"/>
        </w:rPr>
        <w:t>D</w:t>
      </w:r>
      <w:r w:rsidRPr="00B50FA9">
        <w:rPr>
          <w:rFonts w:asciiTheme="minorHAnsi" w:hAnsiTheme="minorHAnsi" w:cstheme="minorHAnsi"/>
        </w:rPr>
        <w:t xml:space="preserve">). </w:t>
      </w:r>
      <w:r w:rsidR="00002905">
        <w:rPr>
          <w:rFonts w:asciiTheme="minorHAnsi" w:hAnsiTheme="minorHAnsi" w:cstheme="minorHAnsi"/>
        </w:rPr>
        <w:t xml:space="preserve"> </w:t>
      </w:r>
      <w:r w:rsidRPr="00B50FA9">
        <w:rPr>
          <w:rFonts w:asciiTheme="minorHAnsi" w:hAnsiTheme="minorHAnsi" w:cstheme="minorHAnsi"/>
        </w:rPr>
        <w:t xml:space="preserve">This will form the basis of </w:t>
      </w:r>
      <w:r w:rsidR="00C64057">
        <w:rPr>
          <w:rFonts w:asciiTheme="minorHAnsi" w:hAnsiTheme="minorHAnsi" w:cstheme="minorHAnsi"/>
        </w:rPr>
        <w:t xml:space="preserve">briefings and </w:t>
      </w:r>
      <w:r w:rsidRPr="00B50FA9">
        <w:rPr>
          <w:rFonts w:asciiTheme="minorHAnsi" w:hAnsiTheme="minorHAnsi" w:cstheme="minorHAnsi"/>
        </w:rPr>
        <w:t>training in 201</w:t>
      </w:r>
      <w:r>
        <w:rPr>
          <w:rFonts w:asciiTheme="minorHAnsi" w:hAnsiTheme="minorHAnsi" w:cstheme="minorHAnsi"/>
        </w:rPr>
        <w:t>8</w:t>
      </w:r>
      <w:r w:rsidRPr="00B50FA9">
        <w:rPr>
          <w:rFonts w:asciiTheme="minorHAnsi" w:hAnsiTheme="minorHAnsi" w:cstheme="minorHAnsi"/>
        </w:rPr>
        <w:t>-1</w:t>
      </w:r>
      <w:r>
        <w:rPr>
          <w:rFonts w:asciiTheme="minorHAnsi" w:hAnsiTheme="minorHAnsi" w:cstheme="minorHAnsi"/>
        </w:rPr>
        <w:t>9</w:t>
      </w:r>
      <w:r w:rsidRPr="00B50FA9">
        <w:rPr>
          <w:rFonts w:asciiTheme="minorHAnsi" w:hAnsiTheme="minorHAnsi" w:cstheme="minorHAnsi"/>
        </w:rPr>
        <w:t xml:space="preserve">.  </w:t>
      </w:r>
    </w:p>
    <w:p w:rsidR="00C71217" w:rsidRDefault="00C71217" w:rsidP="00C71217">
      <w:pPr>
        <w:pStyle w:val="ListParagraph"/>
        <w:ind w:left="709" w:right="58" w:firstLine="0"/>
        <w:jc w:val="both"/>
        <w:rPr>
          <w:rFonts w:asciiTheme="minorHAnsi" w:hAnsiTheme="minorHAnsi" w:cstheme="minorHAnsi"/>
        </w:rPr>
      </w:pPr>
    </w:p>
    <w:p w:rsidR="00C71217" w:rsidRPr="00C71217" w:rsidRDefault="00C71217" w:rsidP="00C71217">
      <w:pPr>
        <w:pStyle w:val="ListParagraph"/>
        <w:numPr>
          <w:ilvl w:val="0"/>
          <w:numId w:val="1"/>
        </w:numPr>
        <w:ind w:right="58"/>
        <w:jc w:val="both"/>
        <w:rPr>
          <w:rFonts w:asciiTheme="minorHAnsi" w:hAnsiTheme="minorHAnsi" w:cstheme="minorHAnsi"/>
          <w:u w:val="single"/>
        </w:rPr>
      </w:pPr>
      <w:r w:rsidRPr="00C71217">
        <w:rPr>
          <w:rFonts w:asciiTheme="minorHAnsi" w:eastAsia="Arial" w:hAnsiTheme="minorHAnsi" w:cstheme="minorHAnsi"/>
          <w:u w:val="single"/>
        </w:rPr>
        <w:t>HAS THE JIAC ASSESSED ITS OWN EFFECTIVENESS OR BEEN THE SUBJECT OF A REVIEW?</w:t>
      </w:r>
    </w:p>
    <w:p w:rsidR="00C71217" w:rsidRPr="00C71217" w:rsidRDefault="00C71217" w:rsidP="00C71217">
      <w:pPr>
        <w:pStyle w:val="ListParagraph"/>
        <w:ind w:left="360" w:right="58" w:firstLine="0"/>
        <w:jc w:val="both"/>
        <w:rPr>
          <w:rFonts w:asciiTheme="minorHAnsi" w:hAnsiTheme="minorHAnsi" w:cstheme="minorHAnsi"/>
        </w:rPr>
      </w:pPr>
    </w:p>
    <w:p w:rsidR="00C71217" w:rsidRPr="00C71217" w:rsidRDefault="00C71217" w:rsidP="00FA748F">
      <w:pPr>
        <w:pStyle w:val="ListParagraph"/>
        <w:numPr>
          <w:ilvl w:val="1"/>
          <w:numId w:val="1"/>
        </w:numPr>
        <w:ind w:left="709" w:right="58" w:hanging="709"/>
        <w:jc w:val="both"/>
        <w:rPr>
          <w:rFonts w:asciiTheme="minorHAnsi" w:hAnsiTheme="minorHAnsi" w:cstheme="minorHAnsi"/>
        </w:rPr>
      </w:pPr>
      <w:r w:rsidRPr="00C71217">
        <w:rPr>
          <w:rFonts w:asciiTheme="minorHAnsi" w:hAnsiTheme="minorHAnsi" w:cstheme="minorHAnsi"/>
        </w:rPr>
        <w:t>The Committee has assessed its own effectiveness based on CIPFA guidance. (</w:t>
      </w:r>
      <w:r>
        <w:rPr>
          <w:rFonts w:asciiTheme="minorHAnsi" w:hAnsiTheme="minorHAnsi" w:cstheme="minorHAnsi"/>
        </w:rPr>
        <w:t>A</w:t>
      </w:r>
      <w:r w:rsidRPr="00C71217">
        <w:rPr>
          <w:rFonts w:asciiTheme="minorHAnsi" w:hAnsiTheme="minorHAnsi" w:cstheme="minorHAnsi"/>
        </w:rPr>
        <w:t>ppendi</w:t>
      </w:r>
      <w:r>
        <w:rPr>
          <w:rFonts w:asciiTheme="minorHAnsi" w:hAnsiTheme="minorHAnsi" w:cstheme="minorHAnsi"/>
        </w:rPr>
        <w:t>x</w:t>
      </w:r>
      <w:r w:rsidRPr="00C71217">
        <w:rPr>
          <w:rFonts w:asciiTheme="minorHAnsi" w:hAnsiTheme="minorHAnsi" w:cstheme="minorHAnsi"/>
        </w:rPr>
        <w:t xml:space="preserve"> </w:t>
      </w:r>
      <w:r w:rsidR="00FA748F">
        <w:rPr>
          <w:rFonts w:asciiTheme="minorHAnsi" w:hAnsiTheme="minorHAnsi" w:cstheme="minorHAnsi"/>
        </w:rPr>
        <w:t>C</w:t>
      </w:r>
      <w:r>
        <w:rPr>
          <w:rFonts w:asciiTheme="minorHAnsi" w:hAnsiTheme="minorHAnsi" w:cstheme="minorHAnsi"/>
        </w:rPr>
        <w:t>)</w:t>
      </w:r>
      <w:r w:rsidRPr="00C71217">
        <w:rPr>
          <w:rFonts w:asciiTheme="minorHAnsi" w:hAnsiTheme="minorHAnsi" w:cstheme="minorHAnsi"/>
        </w:rPr>
        <w:t xml:space="preserve">. This identified some areas where effectiveness can be developed; these include: </w:t>
      </w:r>
    </w:p>
    <w:p w:rsidR="00FA748F" w:rsidRPr="00F44321" w:rsidRDefault="00FA748F" w:rsidP="00F44321">
      <w:pPr>
        <w:pStyle w:val="ListParagraph"/>
        <w:numPr>
          <w:ilvl w:val="0"/>
          <w:numId w:val="2"/>
        </w:numPr>
        <w:spacing w:line="259" w:lineRule="auto"/>
        <w:ind w:left="1701" w:hanging="992"/>
        <w:jc w:val="both"/>
        <w:rPr>
          <w:rFonts w:asciiTheme="minorHAnsi" w:hAnsiTheme="minorHAnsi" w:cstheme="minorHAnsi"/>
        </w:rPr>
      </w:pPr>
      <w:r w:rsidRPr="00F44321">
        <w:rPr>
          <w:rFonts w:asciiTheme="minorHAnsi" w:hAnsiTheme="minorHAnsi" w:cstheme="minorHAnsi"/>
        </w:rPr>
        <w:t xml:space="preserve">The Committee will consider the need for further assurance once the revised Corporate Governance Framework has been implemented. </w:t>
      </w:r>
    </w:p>
    <w:p w:rsidR="00FA748F" w:rsidRDefault="00FA748F" w:rsidP="00491DB2">
      <w:pPr>
        <w:pStyle w:val="ListParagraph"/>
        <w:numPr>
          <w:ilvl w:val="0"/>
          <w:numId w:val="2"/>
        </w:numPr>
        <w:spacing w:after="5" w:line="249" w:lineRule="auto"/>
        <w:ind w:left="1701" w:right="58" w:hanging="981"/>
        <w:jc w:val="both"/>
        <w:rPr>
          <w:rFonts w:asciiTheme="minorHAnsi" w:hAnsiTheme="minorHAnsi" w:cstheme="minorHAnsi"/>
        </w:rPr>
      </w:pPr>
      <w:r w:rsidRPr="00FA748F">
        <w:rPr>
          <w:rFonts w:asciiTheme="minorHAnsi" w:hAnsiTheme="minorHAnsi" w:cstheme="minorHAnsi"/>
        </w:rPr>
        <w:t xml:space="preserve">The Committee will consider the need for further assurance once the revised Corporate Risk Register has been </w:t>
      </w:r>
      <w:r w:rsidR="00384A8A">
        <w:rPr>
          <w:rFonts w:asciiTheme="minorHAnsi" w:hAnsiTheme="minorHAnsi" w:cstheme="minorHAnsi"/>
        </w:rPr>
        <w:t>further developed</w:t>
      </w:r>
      <w:r w:rsidRPr="00FA748F">
        <w:rPr>
          <w:rFonts w:asciiTheme="minorHAnsi" w:hAnsiTheme="minorHAnsi" w:cstheme="minorHAnsi"/>
        </w:rPr>
        <w:t xml:space="preserve">. </w:t>
      </w:r>
    </w:p>
    <w:p w:rsidR="00232370" w:rsidRPr="00232370" w:rsidRDefault="00232370" w:rsidP="00A33D21">
      <w:pPr>
        <w:numPr>
          <w:ilvl w:val="0"/>
          <w:numId w:val="2"/>
        </w:numPr>
        <w:spacing w:after="5" w:line="249" w:lineRule="auto"/>
        <w:ind w:left="1701" w:right="58" w:hanging="981"/>
        <w:rPr>
          <w:rFonts w:asciiTheme="minorHAnsi" w:hAnsiTheme="minorHAnsi" w:cstheme="minorHAnsi"/>
        </w:rPr>
      </w:pPr>
      <w:r w:rsidRPr="005604CC">
        <w:rPr>
          <w:rFonts w:asciiTheme="minorHAnsi" w:hAnsiTheme="minorHAnsi" w:cstheme="minorHAnsi"/>
        </w:rPr>
        <w:t>The Committee will consider its effectiveness by obtaining and evaluating feedback</w:t>
      </w:r>
      <w:r>
        <w:rPr>
          <w:rFonts w:asciiTheme="minorHAnsi" w:hAnsiTheme="minorHAnsi" w:cstheme="minorHAnsi"/>
        </w:rPr>
        <w:t xml:space="preserve"> during 2018-19</w:t>
      </w:r>
      <w:r w:rsidR="00683C31">
        <w:rPr>
          <w:rFonts w:asciiTheme="minorHAnsi" w:hAnsiTheme="minorHAnsi" w:cstheme="minorHAnsi"/>
        </w:rPr>
        <w:t>.</w:t>
      </w:r>
    </w:p>
    <w:p w:rsidR="00FA748F" w:rsidRPr="00B50FA9" w:rsidRDefault="00FA748F" w:rsidP="00FA748F">
      <w:pPr>
        <w:pStyle w:val="ListParagraph"/>
        <w:spacing w:line="259" w:lineRule="auto"/>
        <w:ind w:left="792" w:firstLine="0"/>
        <w:jc w:val="both"/>
        <w:rPr>
          <w:rFonts w:asciiTheme="minorHAnsi" w:hAnsiTheme="minorHAnsi" w:cstheme="minorHAnsi"/>
        </w:rPr>
      </w:pPr>
    </w:p>
    <w:p w:rsidR="00FA748F" w:rsidRPr="00FA748F" w:rsidRDefault="00FA748F" w:rsidP="00FA748F">
      <w:pPr>
        <w:pStyle w:val="ListParagraph"/>
        <w:numPr>
          <w:ilvl w:val="0"/>
          <w:numId w:val="1"/>
        </w:numPr>
        <w:spacing w:line="250" w:lineRule="auto"/>
        <w:jc w:val="both"/>
        <w:rPr>
          <w:rFonts w:asciiTheme="minorHAnsi" w:hAnsiTheme="minorHAnsi" w:cstheme="minorHAnsi"/>
          <w:u w:val="single"/>
        </w:rPr>
      </w:pPr>
      <w:r>
        <w:rPr>
          <w:rFonts w:asciiTheme="minorHAnsi" w:eastAsia="Arial" w:hAnsiTheme="minorHAnsi" w:cstheme="minorHAnsi"/>
          <w:u w:val="single"/>
        </w:rPr>
        <w:t>WHAT IMPACT HAS THE COMMITTEE HAD ON THE IMPROVEMENT OF GOVERNANCE, RISK AND CONTROL?</w:t>
      </w:r>
    </w:p>
    <w:p w:rsidR="00FA748F" w:rsidRPr="00FA748F" w:rsidRDefault="00FA748F" w:rsidP="00FA748F">
      <w:pPr>
        <w:pStyle w:val="ListParagraph"/>
        <w:spacing w:line="250" w:lineRule="auto"/>
        <w:ind w:left="360" w:firstLine="0"/>
        <w:jc w:val="both"/>
        <w:rPr>
          <w:rFonts w:asciiTheme="minorHAnsi" w:hAnsiTheme="minorHAnsi" w:cstheme="minorHAnsi"/>
          <w:u w:val="single"/>
        </w:rPr>
      </w:pPr>
    </w:p>
    <w:p w:rsidR="00FA748F" w:rsidRPr="00FA748F" w:rsidRDefault="00FA748F" w:rsidP="00FA748F">
      <w:pPr>
        <w:pStyle w:val="ListParagraph"/>
        <w:numPr>
          <w:ilvl w:val="1"/>
          <w:numId w:val="1"/>
        </w:numPr>
        <w:spacing w:line="250" w:lineRule="auto"/>
        <w:ind w:hanging="792"/>
        <w:jc w:val="both"/>
        <w:rPr>
          <w:rFonts w:asciiTheme="minorHAnsi" w:hAnsiTheme="minorHAnsi" w:cstheme="minorHAnsi"/>
          <w:u w:val="single"/>
        </w:rPr>
      </w:pPr>
      <w:r>
        <w:rPr>
          <w:rFonts w:asciiTheme="minorHAnsi" w:hAnsiTheme="minorHAnsi" w:cstheme="minorHAnsi"/>
        </w:rPr>
        <w:t xml:space="preserve">JIAC </w:t>
      </w:r>
      <w:r w:rsidR="00C71217" w:rsidRPr="00FA748F">
        <w:rPr>
          <w:rFonts w:asciiTheme="minorHAnsi" w:hAnsiTheme="minorHAnsi" w:cstheme="minorHAnsi"/>
        </w:rPr>
        <w:t>has considered a wide range of areas during the year but legislation restricts the role of police audit committees. The Chief Constable and PCC are ‘those charged with governance’ and this means the Committee’s role is largely advisory.  The other restriction on the Committee is the limited time available. With only four meetings per year it is difficult to be aware of all developments</w:t>
      </w:r>
      <w:r>
        <w:rPr>
          <w:rFonts w:asciiTheme="minorHAnsi" w:hAnsiTheme="minorHAnsi" w:cstheme="minorHAnsi"/>
        </w:rPr>
        <w:t>.</w:t>
      </w:r>
    </w:p>
    <w:p w:rsidR="00FA748F" w:rsidRPr="00FA748F" w:rsidRDefault="00FA748F" w:rsidP="00FA748F">
      <w:pPr>
        <w:spacing w:line="250" w:lineRule="auto"/>
        <w:ind w:left="0" w:firstLine="0"/>
        <w:jc w:val="both"/>
        <w:rPr>
          <w:rFonts w:asciiTheme="minorHAnsi" w:hAnsiTheme="minorHAnsi" w:cstheme="minorHAnsi"/>
          <w:u w:val="single"/>
        </w:rPr>
      </w:pPr>
    </w:p>
    <w:p w:rsidR="00C71217" w:rsidRPr="00FA748F" w:rsidRDefault="00C71217" w:rsidP="00FA748F">
      <w:pPr>
        <w:pStyle w:val="ListParagraph"/>
        <w:numPr>
          <w:ilvl w:val="1"/>
          <w:numId w:val="1"/>
        </w:numPr>
        <w:spacing w:line="250" w:lineRule="auto"/>
        <w:ind w:hanging="792"/>
        <w:jc w:val="both"/>
        <w:rPr>
          <w:rFonts w:asciiTheme="minorHAnsi" w:hAnsiTheme="minorHAnsi" w:cstheme="minorHAnsi"/>
          <w:u w:val="single"/>
        </w:rPr>
      </w:pPr>
      <w:r w:rsidRPr="00FA748F">
        <w:rPr>
          <w:rFonts w:asciiTheme="minorHAnsi" w:hAnsiTheme="minorHAnsi" w:cstheme="minorHAnsi"/>
        </w:rPr>
        <w:t xml:space="preserve">Despite these limitations, the Committee has made an impact during the year and </w:t>
      </w:r>
      <w:r w:rsidR="00FA748F">
        <w:rPr>
          <w:rFonts w:asciiTheme="minorHAnsi" w:hAnsiTheme="minorHAnsi" w:cstheme="minorHAnsi"/>
        </w:rPr>
        <w:t>the following</w:t>
      </w:r>
      <w:r w:rsidRPr="00FA748F">
        <w:rPr>
          <w:rFonts w:asciiTheme="minorHAnsi" w:hAnsiTheme="minorHAnsi" w:cstheme="minorHAnsi"/>
        </w:rPr>
        <w:t xml:space="preserve"> </w:t>
      </w:r>
      <w:r w:rsidR="00FA748F">
        <w:rPr>
          <w:rFonts w:asciiTheme="minorHAnsi" w:hAnsiTheme="minorHAnsi" w:cstheme="minorHAnsi"/>
        </w:rPr>
        <w:t>is an indication</w:t>
      </w:r>
      <w:r w:rsidRPr="00FA748F">
        <w:rPr>
          <w:rFonts w:asciiTheme="minorHAnsi" w:hAnsiTheme="minorHAnsi" w:cstheme="minorHAnsi"/>
        </w:rPr>
        <w:t xml:space="preserve"> of this: </w:t>
      </w:r>
    </w:p>
    <w:p w:rsidR="00FA748F" w:rsidRPr="00FA748F" w:rsidRDefault="00FA748F" w:rsidP="00FA748F">
      <w:pPr>
        <w:pStyle w:val="ListParagraph"/>
        <w:rPr>
          <w:rFonts w:asciiTheme="minorHAnsi" w:hAnsiTheme="minorHAnsi" w:cstheme="minorHAnsi"/>
          <w:u w:val="single"/>
        </w:rPr>
      </w:pPr>
    </w:p>
    <w:p w:rsidR="00E45ED3" w:rsidRDefault="00FA748F" w:rsidP="00E45ED3">
      <w:pPr>
        <w:numPr>
          <w:ilvl w:val="2"/>
          <w:numId w:val="1"/>
        </w:numPr>
        <w:ind w:left="1701" w:hanging="981"/>
        <w:jc w:val="both"/>
        <w:rPr>
          <w:rFonts w:ascii="Calibri" w:hAnsi="Calibri"/>
        </w:rPr>
      </w:pPr>
      <w:r w:rsidRPr="009261BD">
        <w:rPr>
          <w:rFonts w:asciiTheme="minorHAnsi" w:hAnsiTheme="minorHAnsi" w:cstheme="minorHAnsi"/>
        </w:rPr>
        <w:t>The Chai</w:t>
      </w:r>
      <w:r>
        <w:rPr>
          <w:rFonts w:asciiTheme="minorHAnsi" w:hAnsiTheme="minorHAnsi" w:cstheme="minorHAnsi"/>
        </w:rPr>
        <w:t>r</w:t>
      </w:r>
      <w:r w:rsidRPr="009261BD">
        <w:rPr>
          <w:rFonts w:asciiTheme="minorHAnsi" w:hAnsiTheme="minorHAnsi" w:cstheme="minorHAnsi"/>
        </w:rPr>
        <w:t xml:space="preserve"> meets with officers of the PCC and CC, Internal Auditors and External Auditors </w:t>
      </w:r>
      <w:r>
        <w:rPr>
          <w:rFonts w:asciiTheme="minorHAnsi" w:hAnsiTheme="minorHAnsi" w:cstheme="minorHAnsi"/>
        </w:rPr>
        <w:t xml:space="preserve">as necessary </w:t>
      </w:r>
      <w:r w:rsidRPr="009261BD">
        <w:rPr>
          <w:rFonts w:asciiTheme="minorHAnsi" w:hAnsiTheme="minorHAnsi" w:cstheme="minorHAnsi"/>
        </w:rPr>
        <w:t>to keep abreast of their work programmes insofar as they are relevant to the work of</w:t>
      </w:r>
      <w:r>
        <w:rPr>
          <w:rFonts w:ascii="Calibri" w:hAnsi="Calibri"/>
        </w:rPr>
        <w:t xml:space="preserve"> the JIAC.</w:t>
      </w:r>
      <w:r w:rsidR="00F44321">
        <w:rPr>
          <w:rFonts w:ascii="Calibri" w:hAnsi="Calibri"/>
        </w:rPr>
        <w:t xml:space="preserve"> </w:t>
      </w:r>
      <w:r>
        <w:rPr>
          <w:rFonts w:ascii="Calibri" w:hAnsi="Calibri"/>
        </w:rPr>
        <w:t xml:space="preserve"> It is also </w:t>
      </w:r>
      <w:r w:rsidR="00F44321">
        <w:rPr>
          <w:rFonts w:ascii="Calibri" w:hAnsi="Calibri"/>
        </w:rPr>
        <w:t>possible</w:t>
      </w:r>
      <w:r>
        <w:rPr>
          <w:rFonts w:ascii="Calibri" w:hAnsi="Calibri"/>
        </w:rPr>
        <w:t xml:space="preserve"> for the Chairman to have discussions with the Statutory Officers about emerging issues.</w:t>
      </w:r>
    </w:p>
    <w:p w:rsidR="00E45ED3" w:rsidRDefault="00E45ED3" w:rsidP="00E45ED3">
      <w:pPr>
        <w:ind w:left="1701" w:firstLine="0"/>
        <w:jc w:val="both"/>
        <w:rPr>
          <w:rFonts w:ascii="Calibri" w:hAnsi="Calibri"/>
        </w:rPr>
      </w:pPr>
    </w:p>
    <w:p w:rsidR="00FA748F" w:rsidRDefault="00E45ED3" w:rsidP="00E45ED3">
      <w:pPr>
        <w:numPr>
          <w:ilvl w:val="2"/>
          <w:numId w:val="1"/>
        </w:numPr>
        <w:ind w:left="1701" w:hanging="981"/>
        <w:jc w:val="both"/>
        <w:rPr>
          <w:rFonts w:ascii="Calibri" w:hAnsi="Calibri"/>
        </w:rPr>
      </w:pPr>
      <w:r w:rsidRPr="00E45ED3">
        <w:rPr>
          <w:rFonts w:ascii="Calibri" w:hAnsi="Calibri"/>
        </w:rPr>
        <w:t xml:space="preserve">During 2017-18 a high-level work planner has been developed for the JIAC.  This is designed to ensure that JIAC gives adequate coverage to the areas set out in its terms of reference and any relevant emerging matters.  To that end the </w:t>
      </w:r>
      <w:r>
        <w:rPr>
          <w:rFonts w:ascii="Calibri" w:hAnsi="Calibri"/>
        </w:rPr>
        <w:t>Work Plan</w:t>
      </w:r>
      <w:r w:rsidRPr="00E45ED3">
        <w:rPr>
          <w:rFonts w:ascii="Calibri" w:hAnsi="Calibri"/>
        </w:rPr>
        <w:t xml:space="preserve"> contains quarterly items, annual items and a section for items as required each aligned to one of the nine broad areas set out in the terms of reference.  The plan was first considered at the December 2017 session and </w:t>
      </w:r>
      <w:r>
        <w:rPr>
          <w:rFonts w:ascii="Calibri" w:hAnsi="Calibri"/>
        </w:rPr>
        <w:t>is</w:t>
      </w:r>
      <w:r w:rsidRPr="00E45ED3">
        <w:rPr>
          <w:rFonts w:ascii="Calibri" w:hAnsi="Calibri"/>
        </w:rPr>
        <w:t xml:space="preserve"> considered on each occasion that JIAC meets.</w:t>
      </w:r>
    </w:p>
    <w:p w:rsidR="00E45ED3" w:rsidRDefault="00E45ED3" w:rsidP="00E45ED3">
      <w:pPr>
        <w:pStyle w:val="ListParagraph"/>
        <w:rPr>
          <w:rFonts w:ascii="Calibri" w:hAnsi="Calibri"/>
        </w:rPr>
      </w:pPr>
    </w:p>
    <w:p w:rsidR="00E45ED3" w:rsidRDefault="00C71217" w:rsidP="00E45ED3">
      <w:pPr>
        <w:numPr>
          <w:ilvl w:val="2"/>
          <w:numId w:val="1"/>
        </w:numPr>
        <w:ind w:left="1701" w:hanging="981"/>
        <w:jc w:val="both"/>
        <w:rPr>
          <w:rFonts w:ascii="Calibri" w:hAnsi="Calibri"/>
        </w:rPr>
      </w:pPr>
      <w:r w:rsidRPr="00E45ED3">
        <w:rPr>
          <w:rFonts w:asciiTheme="minorHAnsi" w:hAnsiTheme="minorHAnsi" w:cstheme="minorHAnsi"/>
        </w:rPr>
        <w:t>The Committee identified areas where more information and training were required to fulfil its role effectively. It therefore requested presentations on a range of areas provid</w:t>
      </w:r>
      <w:r w:rsidR="00E45ED3">
        <w:rPr>
          <w:rFonts w:asciiTheme="minorHAnsi" w:hAnsiTheme="minorHAnsi" w:cstheme="minorHAnsi"/>
        </w:rPr>
        <w:t>ing</w:t>
      </w:r>
      <w:r w:rsidRPr="00E45ED3">
        <w:rPr>
          <w:rFonts w:asciiTheme="minorHAnsi" w:hAnsiTheme="minorHAnsi" w:cstheme="minorHAnsi"/>
        </w:rPr>
        <w:t xml:space="preserve"> additional assurance on the arrangements in place.  </w:t>
      </w:r>
    </w:p>
    <w:p w:rsidR="00E45ED3" w:rsidRDefault="00E45ED3" w:rsidP="00E45ED3">
      <w:pPr>
        <w:pStyle w:val="ListParagraph"/>
        <w:rPr>
          <w:rFonts w:asciiTheme="minorHAnsi" w:hAnsiTheme="minorHAnsi" w:cstheme="minorHAnsi"/>
        </w:rPr>
      </w:pPr>
    </w:p>
    <w:p w:rsidR="00E45ED3" w:rsidRDefault="00C71217" w:rsidP="00E45ED3">
      <w:pPr>
        <w:numPr>
          <w:ilvl w:val="2"/>
          <w:numId w:val="1"/>
        </w:numPr>
        <w:ind w:left="1701" w:hanging="981"/>
        <w:jc w:val="both"/>
        <w:rPr>
          <w:rFonts w:ascii="Calibri" w:hAnsi="Calibri"/>
        </w:rPr>
      </w:pPr>
      <w:r w:rsidRPr="00E45ED3">
        <w:rPr>
          <w:rFonts w:asciiTheme="minorHAnsi" w:hAnsiTheme="minorHAnsi" w:cstheme="minorHAnsi"/>
        </w:rPr>
        <w:t>The Committee closely monitors internal audit resources and progress against the audit plan. It regularly challenges progress</w:t>
      </w:r>
      <w:r w:rsidR="00CD3964">
        <w:rPr>
          <w:rFonts w:asciiTheme="minorHAnsi" w:hAnsiTheme="minorHAnsi" w:cstheme="minorHAnsi"/>
        </w:rPr>
        <w:t xml:space="preserve"> and</w:t>
      </w:r>
      <w:r w:rsidRPr="00E45ED3">
        <w:rPr>
          <w:rFonts w:asciiTheme="minorHAnsi" w:hAnsiTheme="minorHAnsi" w:cstheme="minorHAnsi"/>
        </w:rPr>
        <w:t xml:space="preserve"> resources</w:t>
      </w:r>
      <w:r w:rsidR="00232370">
        <w:rPr>
          <w:rFonts w:asciiTheme="minorHAnsi" w:hAnsiTheme="minorHAnsi" w:cstheme="minorHAnsi"/>
        </w:rPr>
        <w:t xml:space="preserve"> (for example in highlighting or emphasising the importance of data quality</w:t>
      </w:r>
      <w:r w:rsidR="00CD3964">
        <w:rPr>
          <w:rFonts w:asciiTheme="minorHAnsi" w:hAnsiTheme="minorHAnsi" w:cstheme="minorHAnsi"/>
        </w:rPr>
        <w:t xml:space="preserve"> </w:t>
      </w:r>
      <w:r w:rsidR="00232370">
        <w:rPr>
          <w:rFonts w:asciiTheme="minorHAnsi" w:hAnsiTheme="minorHAnsi" w:cstheme="minorHAnsi"/>
        </w:rPr>
        <w:t>/</w:t>
      </w:r>
      <w:r w:rsidR="00CD3964">
        <w:rPr>
          <w:rFonts w:asciiTheme="minorHAnsi" w:hAnsiTheme="minorHAnsi" w:cstheme="minorHAnsi"/>
        </w:rPr>
        <w:t xml:space="preserve"> </w:t>
      </w:r>
      <w:r w:rsidR="00232370">
        <w:rPr>
          <w:rFonts w:asciiTheme="minorHAnsi" w:hAnsiTheme="minorHAnsi" w:cstheme="minorHAnsi"/>
        </w:rPr>
        <w:t>compliance and the requirements of the GDPR)</w:t>
      </w:r>
      <w:r w:rsidRPr="00E45ED3">
        <w:rPr>
          <w:rFonts w:asciiTheme="minorHAnsi" w:hAnsiTheme="minorHAnsi" w:cstheme="minorHAnsi"/>
        </w:rPr>
        <w:t xml:space="preserve">.  </w:t>
      </w:r>
    </w:p>
    <w:p w:rsidR="00E45ED3" w:rsidRDefault="00E45ED3" w:rsidP="00E45ED3">
      <w:pPr>
        <w:pStyle w:val="ListParagraph"/>
        <w:rPr>
          <w:rFonts w:asciiTheme="minorHAnsi" w:hAnsiTheme="minorHAnsi" w:cstheme="minorHAnsi"/>
        </w:rPr>
      </w:pPr>
    </w:p>
    <w:p w:rsidR="00C71217" w:rsidRPr="00A33D21" w:rsidRDefault="00C71217" w:rsidP="00E45ED3">
      <w:pPr>
        <w:numPr>
          <w:ilvl w:val="2"/>
          <w:numId w:val="1"/>
        </w:numPr>
        <w:ind w:left="1701" w:hanging="981"/>
        <w:jc w:val="both"/>
        <w:rPr>
          <w:rFonts w:ascii="Calibri" w:hAnsi="Calibri"/>
        </w:rPr>
      </w:pPr>
      <w:r w:rsidRPr="00E45ED3">
        <w:rPr>
          <w:rFonts w:asciiTheme="minorHAnsi" w:hAnsiTheme="minorHAnsi" w:cstheme="minorHAnsi"/>
        </w:rPr>
        <w:t xml:space="preserve">The Committee has a key role in reviewing the </w:t>
      </w:r>
      <w:r w:rsidR="00E45ED3">
        <w:rPr>
          <w:rFonts w:asciiTheme="minorHAnsi" w:hAnsiTheme="minorHAnsi" w:cstheme="minorHAnsi"/>
        </w:rPr>
        <w:t>A</w:t>
      </w:r>
      <w:r w:rsidRPr="00E45ED3">
        <w:rPr>
          <w:rFonts w:asciiTheme="minorHAnsi" w:hAnsiTheme="minorHAnsi" w:cstheme="minorHAnsi"/>
        </w:rPr>
        <w:t xml:space="preserve">nnual </w:t>
      </w:r>
      <w:r w:rsidR="00E45ED3">
        <w:rPr>
          <w:rFonts w:asciiTheme="minorHAnsi" w:hAnsiTheme="minorHAnsi" w:cstheme="minorHAnsi"/>
        </w:rPr>
        <w:t>A</w:t>
      </w:r>
      <w:r w:rsidRPr="00E45ED3">
        <w:rPr>
          <w:rFonts w:asciiTheme="minorHAnsi" w:hAnsiTheme="minorHAnsi" w:cstheme="minorHAnsi"/>
        </w:rPr>
        <w:t xml:space="preserve">ccounts and the </w:t>
      </w:r>
      <w:r w:rsidR="00E45ED3">
        <w:rPr>
          <w:rFonts w:asciiTheme="minorHAnsi" w:hAnsiTheme="minorHAnsi" w:cstheme="minorHAnsi"/>
        </w:rPr>
        <w:t>A</w:t>
      </w:r>
      <w:r w:rsidRPr="00E45ED3">
        <w:rPr>
          <w:rFonts w:asciiTheme="minorHAnsi" w:hAnsiTheme="minorHAnsi" w:cstheme="minorHAnsi"/>
        </w:rPr>
        <w:t xml:space="preserve">nnual </w:t>
      </w:r>
      <w:r w:rsidR="00E45ED3">
        <w:rPr>
          <w:rFonts w:asciiTheme="minorHAnsi" w:hAnsiTheme="minorHAnsi" w:cstheme="minorHAnsi"/>
        </w:rPr>
        <w:t>G</w:t>
      </w:r>
      <w:r w:rsidRPr="00E45ED3">
        <w:rPr>
          <w:rFonts w:asciiTheme="minorHAnsi" w:hAnsiTheme="minorHAnsi" w:cstheme="minorHAnsi"/>
        </w:rPr>
        <w:t xml:space="preserve">overnance </w:t>
      </w:r>
      <w:r w:rsidR="00E45ED3">
        <w:rPr>
          <w:rFonts w:asciiTheme="minorHAnsi" w:hAnsiTheme="minorHAnsi" w:cstheme="minorHAnsi"/>
        </w:rPr>
        <w:t>S</w:t>
      </w:r>
      <w:r w:rsidRPr="00E45ED3">
        <w:rPr>
          <w:rFonts w:asciiTheme="minorHAnsi" w:hAnsiTheme="minorHAnsi" w:cstheme="minorHAnsi"/>
        </w:rPr>
        <w:t xml:space="preserve">tatement. With regular briefing on key features of the statements and meetings with external audit, the Committee is in a good position to provide assurance to the PCC and Chief Constable before they formally approve these documents.  </w:t>
      </w:r>
    </w:p>
    <w:p w:rsidR="00A97826" w:rsidRDefault="00A97826" w:rsidP="00A33D21">
      <w:pPr>
        <w:pStyle w:val="ListParagraph"/>
        <w:rPr>
          <w:rFonts w:ascii="Calibri" w:hAnsi="Calibri"/>
        </w:rPr>
      </w:pPr>
    </w:p>
    <w:p w:rsidR="002233DD" w:rsidRDefault="00A97826" w:rsidP="00E45ED3">
      <w:pPr>
        <w:numPr>
          <w:ilvl w:val="2"/>
          <w:numId w:val="1"/>
        </w:numPr>
        <w:ind w:left="1701" w:hanging="981"/>
        <w:jc w:val="both"/>
        <w:rPr>
          <w:rFonts w:ascii="Calibri" w:hAnsi="Calibri"/>
        </w:rPr>
      </w:pPr>
      <w:r>
        <w:rPr>
          <w:rFonts w:ascii="Calibri" w:hAnsi="Calibri"/>
        </w:rPr>
        <w:t>The Committee has not identified any significant control risks through the year however, it has identified</w:t>
      </w:r>
      <w:r w:rsidR="002233DD">
        <w:rPr>
          <w:rFonts w:ascii="Calibri" w:hAnsi="Calibri"/>
        </w:rPr>
        <w:t xml:space="preserve"> the following</w:t>
      </w:r>
      <w:r>
        <w:rPr>
          <w:rFonts w:ascii="Calibri" w:hAnsi="Calibri"/>
        </w:rPr>
        <w:t xml:space="preserve"> areas or themes that </w:t>
      </w:r>
      <w:r w:rsidR="002233DD">
        <w:rPr>
          <w:rFonts w:ascii="Calibri" w:hAnsi="Calibri"/>
        </w:rPr>
        <w:t>have recurred while undertaking its work that it will seek assurance on during the next year:</w:t>
      </w:r>
    </w:p>
    <w:p w:rsidR="00A97826" w:rsidRDefault="002233DD" w:rsidP="00A33D21">
      <w:pPr>
        <w:numPr>
          <w:ilvl w:val="3"/>
          <w:numId w:val="1"/>
        </w:numPr>
        <w:ind w:left="2552" w:hanging="851"/>
        <w:jc w:val="both"/>
        <w:rPr>
          <w:rFonts w:ascii="Calibri" w:hAnsi="Calibri"/>
        </w:rPr>
      </w:pPr>
      <w:r>
        <w:rPr>
          <w:rFonts w:ascii="Calibri" w:hAnsi="Calibri"/>
        </w:rPr>
        <w:t>Data quality</w:t>
      </w:r>
      <w:r w:rsidR="00B13B54">
        <w:rPr>
          <w:rFonts w:ascii="Calibri" w:hAnsi="Calibri"/>
        </w:rPr>
        <w:t xml:space="preserve"> and Crime Data Integrity</w:t>
      </w:r>
    </w:p>
    <w:p w:rsidR="00CD3964" w:rsidRDefault="00CD3964" w:rsidP="00A33D21">
      <w:pPr>
        <w:numPr>
          <w:ilvl w:val="3"/>
          <w:numId w:val="1"/>
        </w:numPr>
        <w:ind w:left="2552" w:hanging="851"/>
        <w:jc w:val="both"/>
        <w:rPr>
          <w:rFonts w:ascii="Calibri" w:hAnsi="Calibri"/>
        </w:rPr>
      </w:pPr>
      <w:r>
        <w:rPr>
          <w:rFonts w:ascii="Calibri" w:hAnsi="Calibri"/>
        </w:rPr>
        <w:t>Collaboration arrangements across forces and services including the Fire and Rescue Service</w:t>
      </w:r>
    </w:p>
    <w:p w:rsidR="00CD3964" w:rsidRDefault="007F4D92" w:rsidP="00CD3964">
      <w:pPr>
        <w:ind w:left="1701" w:firstLine="0"/>
        <w:jc w:val="both"/>
        <w:rPr>
          <w:rFonts w:ascii="Calibri" w:hAnsi="Calibri"/>
        </w:rPr>
      </w:pPr>
      <w:r>
        <w:rPr>
          <w:rFonts w:ascii="Calibri" w:hAnsi="Calibri"/>
        </w:rPr>
        <w:t>These have been recommended to the PCC and CC for inclusion in the joint Annual Governance Statement for the period.</w:t>
      </w:r>
    </w:p>
    <w:p w:rsidR="007F4D92" w:rsidRDefault="007F4D92" w:rsidP="00CD3964">
      <w:pPr>
        <w:ind w:left="1701" w:firstLine="0"/>
        <w:jc w:val="both"/>
        <w:rPr>
          <w:rFonts w:ascii="Calibri" w:hAnsi="Calibri"/>
        </w:rPr>
      </w:pPr>
    </w:p>
    <w:p w:rsidR="00E45ED3" w:rsidRPr="00250679" w:rsidRDefault="00E45ED3" w:rsidP="00E45ED3">
      <w:pPr>
        <w:numPr>
          <w:ilvl w:val="0"/>
          <w:numId w:val="1"/>
        </w:numPr>
        <w:jc w:val="both"/>
        <w:rPr>
          <w:rFonts w:ascii="Calibri" w:hAnsi="Calibri"/>
          <w:u w:val="single"/>
        </w:rPr>
      </w:pPr>
      <w:r w:rsidRPr="00250679">
        <w:rPr>
          <w:rFonts w:ascii="Calibri" w:hAnsi="Calibri"/>
          <w:u w:val="single"/>
        </w:rPr>
        <w:t>COMMITTEE’S CONCLUSIONS ON GOVERNANCE</w:t>
      </w:r>
    </w:p>
    <w:p w:rsidR="00E45ED3" w:rsidRPr="00250679" w:rsidRDefault="00E45ED3" w:rsidP="00E45ED3">
      <w:pPr>
        <w:ind w:left="360" w:firstLine="0"/>
        <w:jc w:val="both"/>
        <w:rPr>
          <w:rFonts w:ascii="Calibri" w:hAnsi="Calibri"/>
          <w:u w:val="single"/>
        </w:rPr>
      </w:pPr>
    </w:p>
    <w:p w:rsidR="00E45ED3" w:rsidRPr="00250679" w:rsidRDefault="00C71217" w:rsidP="00E45ED3">
      <w:pPr>
        <w:numPr>
          <w:ilvl w:val="1"/>
          <w:numId w:val="1"/>
        </w:numPr>
        <w:ind w:hanging="792"/>
        <w:jc w:val="both"/>
        <w:rPr>
          <w:rFonts w:asciiTheme="minorHAnsi" w:hAnsiTheme="minorHAnsi" w:cstheme="minorHAnsi"/>
          <w:b/>
        </w:rPr>
      </w:pPr>
      <w:r w:rsidRPr="00250679">
        <w:rPr>
          <w:rFonts w:asciiTheme="minorHAnsi" w:hAnsiTheme="minorHAnsi" w:cstheme="minorHAnsi"/>
        </w:rPr>
        <w:t xml:space="preserve">The Committee has received assurances on the operation of the </w:t>
      </w:r>
      <w:r w:rsidR="00E45ED3" w:rsidRPr="00250679">
        <w:rPr>
          <w:rFonts w:asciiTheme="minorHAnsi" w:hAnsiTheme="minorHAnsi" w:cstheme="minorHAnsi"/>
        </w:rPr>
        <w:t>PCC</w:t>
      </w:r>
      <w:r w:rsidRPr="00250679">
        <w:rPr>
          <w:rFonts w:asciiTheme="minorHAnsi" w:hAnsiTheme="minorHAnsi" w:cstheme="minorHAnsi"/>
        </w:rPr>
        <w:t xml:space="preserve"> and </w:t>
      </w:r>
      <w:r w:rsidR="00E45ED3" w:rsidRPr="00250679">
        <w:rPr>
          <w:rFonts w:asciiTheme="minorHAnsi" w:hAnsiTheme="minorHAnsi" w:cstheme="minorHAnsi"/>
        </w:rPr>
        <w:t>CC’</w:t>
      </w:r>
      <w:r w:rsidRPr="00250679">
        <w:rPr>
          <w:rFonts w:asciiTheme="minorHAnsi" w:hAnsiTheme="minorHAnsi" w:cstheme="minorHAnsi"/>
        </w:rPr>
        <w:t xml:space="preserve">s systems of governance, risk management, financial reporting and annual governance statement arrangements. </w:t>
      </w:r>
      <w:r w:rsidR="00CD3964">
        <w:rPr>
          <w:rFonts w:asciiTheme="minorHAnsi" w:hAnsiTheme="minorHAnsi" w:cstheme="minorHAnsi"/>
        </w:rPr>
        <w:t xml:space="preserve"> </w:t>
      </w:r>
      <w:r w:rsidRPr="00250679">
        <w:rPr>
          <w:rFonts w:asciiTheme="minorHAnsi" w:hAnsiTheme="minorHAnsi" w:cstheme="minorHAnsi"/>
        </w:rPr>
        <w:t xml:space="preserve">Its work has not identified any significant control risks and the </w:t>
      </w:r>
      <w:r w:rsidR="00E45ED3" w:rsidRPr="00250679">
        <w:rPr>
          <w:rFonts w:asciiTheme="minorHAnsi" w:hAnsiTheme="minorHAnsi" w:cstheme="minorHAnsi"/>
        </w:rPr>
        <w:t>JIAC</w:t>
      </w:r>
      <w:r w:rsidRPr="00250679">
        <w:rPr>
          <w:rFonts w:asciiTheme="minorHAnsi" w:hAnsiTheme="minorHAnsi" w:cstheme="minorHAnsi"/>
        </w:rPr>
        <w:t xml:space="preserve"> concludes that the arrangements reviewed are adequate.</w:t>
      </w:r>
      <w:r w:rsidRPr="00250679">
        <w:rPr>
          <w:rFonts w:asciiTheme="minorHAnsi" w:hAnsiTheme="minorHAnsi" w:cstheme="minorHAnsi"/>
          <w:b/>
        </w:rPr>
        <w:t xml:space="preserve">  </w:t>
      </w:r>
    </w:p>
    <w:p w:rsidR="00E45ED3" w:rsidRDefault="00E45ED3" w:rsidP="00E45ED3">
      <w:pPr>
        <w:ind w:left="792" w:firstLine="0"/>
        <w:jc w:val="both"/>
        <w:rPr>
          <w:rFonts w:asciiTheme="minorHAnsi" w:hAnsiTheme="minorHAnsi" w:cstheme="minorHAnsi"/>
        </w:rPr>
      </w:pPr>
    </w:p>
    <w:p w:rsidR="00E45ED3" w:rsidRDefault="00C71217" w:rsidP="00E45ED3">
      <w:pPr>
        <w:numPr>
          <w:ilvl w:val="1"/>
          <w:numId w:val="1"/>
        </w:numPr>
        <w:ind w:hanging="792"/>
        <w:jc w:val="both"/>
        <w:rPr>
          <w:rFonts w:asciiTheme="minorHAnsi" w:hAnsiTheme="minorHAnsi" w:cstheme="minorHAnsi"/>
        </w:rPr>
      </w:pPr>
      <w:r w:rsidRPr="00E45ED3">
        <w:rPr>
          <w:rFonts w:asciiTheme="minorHAnsi" w:hAnsiTheme="minorHAnsi" w:cstheme="minorHAnsi"/>
        </w:rPr>
        <w:t xml:space="preserve">The </w:t>
      </w:r>
      <w:r w:rsidR="00E45ED3">
        <w:rPr>
          <w:rFonts w:asciiTheme="minorHAnsi" w:hAnsiTheme="minorHAnsi" w:cstheme="minorHAnsi"/>
        </w:rPr>
        <w:t>JIAC</w:t>
      </w:r>
      <w:r w:rsidRPr="00E45ED3">
        <w:rPr>
          <w:rFonts w:asciiTheme="minorHAnsi" w:hAnsiTheme="minorHAnsi" w:cstheme="minorHAnsi"/>
        </w:rPr>
        <w:t xml:space="preserve"> has reviewed its effectiveness against its terms of reference and objectives. Members believe the Committee has been effective but have identified areas where improvements could be made. These include considering</w:t>
      </w:r>
      <w:r w:rsidR="00E45ED3">
        <w:rPr>
          <w:rFonts w:asciiTheme="minorHAnsi" w:hAnsiTheme="minorHAnsi" w:cstheme="minorHAnsi"/>
        </w:rPr>
        <w:t>:</w:t>
      </w:r>
    </w:p>
    <w:p w:rsidR="00E45ED3" w:rsidRDefault="00E45ED3" w:rsidP="00E45ED3">
      <w:pPr>
        <w:pStyle w:val="ListParagraph"/>
        <w:rPr>
          <w:rFonts w:asciiTheme="minorHAnsi" w:hAnsiTheme="minorHAnsi" w:cstheme="minorHAnsi"/>
        </w:rPr>
      </w:pPr>
    </w:p>
    <w:p w:rsidR="00E45ED3" w:rsidRDefault="00663E69" w:rsidP="00663E69">
      <w:pPr>
        <w:numPr>
          <w:ilvl w:val="2"/>
          <w:numId w:val="1"/>
        </w:numPr>
        <w:ind w:left="1701" w:hanging="850"/>
        <w:jc w:val="both"/>
        <w:rPr>
          <w:rFonts w:asciiTheme="minorHAnsi" w:hAnsiTheme="minorHAnsi" w:cstheme="minorHAnsi"/>
        </w:rPr>
      </w:pPr>
      <w:r w:rsidRPr="00663E69">
        <w:rPr>
          <w:rFonts w:asciiTheme="minorHAnsi" w:hAnsiTheme="minorHAnsi" w:cstheme="minorHAnsi"/>
        </w:rPr>
        <w:t xml:space="preserve">Need for </w:t>
      </w:r>
      <w:r>
        <w:rPr>
          <w:rFonts w:asciiTheme="minorHAnsi" w:hAnsiTheme="minorHAnsi" w:cstheme="minorHAnsi"/>
        </w:rPr>
        <w:t xml:space="preserve">improved </w:t>
      </w:r>
      <w:r w:rsidRPr="00663E69">
        <w:rPr>
          <w:rFonts w:asciiTheme="minorHAnsi" w:hAnsiTheme="minorHAnsi" w:cstheme="minorHAnsi"/>
        </w:rPr>
        <w:t xml:space="preserve">awareness </w:t>
      </w:r>
      <w:r>
        <w:rPr>
          <w:rFonts w:asciiTheme="minorHAnsi" w:hAnsiTheme="minorHAnsi" w:cstheme="minorHAnsi"/>
        </w:rPr>
        <w:t xml:space="preserve">and scrutiny </w:t>
      </w:r>
      <w:r w:rsidRPr="00663E69">
        <w:rPr>
          <w:rFonts w:asciiTheme="minorHAnsi" w:hAnsiTheme="minorHAnsi" w:cstheme="minorHAnsi"/>
        </w:rPr>
        <w:t>of whistleblowing</w:t>
      </w:r>
      <w:r>
        <w:rPr>
          <w:rFonts w:asciiTheme="minorHAnsi" w:hAnsiTheme="minorHAnsi" w:cstheme="minorHAnsi"/>
        </w:rPr>
        <w:t>, litigation</w:t>
      </w:r>
      <w:r w:rsidRPr="00663E69">
        <w:rPr>
          <w:rFonts w:asciiTheme="minorHAnsi" w:hAnsiTheme="minorHAnsi" w:cstheme="minorHAnsi"/>
        </w:rPr>
        <w:t xml:space="preserve"> and </w:t>
      </w:r>
      <w:r>
        <w:rPr>
          <w:rFonts w:asciiTheme="minorHAnsi" w:hAnsiTheme="minorHAnsi" w:cstheme="minorHAnsi"/>
        </w:rPr>
        <w:t xml:space="preserve">general </w:t>
      </w:r>
      <w:r w:rsidRPr="00663E69">
        <w:rPr>
          <w:rFonts w:asciiTheme="minorHAnsi" w:hAnsiTheme="minorHAnsi" w:cstheme="minorHAnsi"/>
        </w:rPr>
        <w:t>complaints arrangements – added to Work Plan</w:t>
      </w:r>
      <w:r w:rsidR="00B13B54">
        <w:rPr>
          <w:rFonts w:asciiTheme="minorHAnsi" w:hAnsiTheme="minorHAnsi" w:cstheme="minorHAnsi"/>
        </w:rPr>
        <w:t>.</w:t>
      </w:r>
    </w:p>
    <w:p w:rsidR="00B13B54" w:rsidRDefault="00B13B54" w:rsidP="00B13B54">
      <w:pPr>
        <w:pStyle w:val="ListParagraph"/>
        <w:rPr>
          <w:rFonts w:asciiTheme="minorHAnsi" w:hAnsiTheme="minorHAnsi" w:cstheme="minorHAnsi"/>
        </w:rPr>
      </w:pPr>
    </w:p>
    <w:p w:rsidR="00B13B54" w:rsidRPr="00663E69" w:rsidRDefault="00B13B54" w:rsidP="00663E69">
      <w:pPr>
        <w:numPr>
          <w:ilvl w:val="2"/>
          <w:numId w:val="1"/>
        </w:numPr>
        <w:ind w:left="1701" w:hanging="850"/>
        <w:jc w:val="both"/>
        <w:rPr>
          <w:rFonts w:asciiTheme="minorHAnsi" w:hAnsiTheme="minorHAnsi" w:cstheme="minorHAnsi"/>
        </w:rPr>
      </w:pPr>
      <w:r w:rsidRPr="00B13B54">
        <w:rPr>
          <w:rFonts w:asciiTheme="minorHAnsi" w:hAnsiTheme="minorHAnsi" w:cstheme="minorHAnsi"/>
        </w:rPr>
        <w:t>Ongoing need to be updated with developments</w:t>
      </w:r>
      <w:r>
        <w:rPr>
          <w:rFonts w:asciiTheme="minorHAnsi" w:hAnsiTheme="minorHAnsi" w:cstheme="minorHAnsi"/>
        </w:rPr>
        <w:t xml:space="preserve"> with</w:t>
      </w:r>
      <w:r w:rsidRPr="00B13B54">
        <w:rPr>
          <w:rFonts w:asciiTheme="minorHAnsi" w:hAnsiTheme="minorHAnsi" w:cstheme="minorHAnsi"/>
        </w:rPr>
        <w:t xml:space="preserve"> and impact</w:t>
      </w:r>
      <w:r>
        <w:rPr>
          <w:rFonts w:asciiTheme="minorHAnsi" w:hAnsiTheme="minorHAnsi" w:cstheme="minorHAnsi"/>
        </w:rPr>
        <w:t xml:space="preserve"> of Fire and Rescue Service – add as a regular agenda item.</w:t>
      </w:r>
    </w:p>
    <w:p w:rsidR="00E45ED3" w:rsidRDefault="00E45ED3" w:rsidP="00E45ED3">
      <w:pPr>
        <w:pStyle w:val="ListParagraph"/>
        <w:rPr>
          <w:rFonts w:asciiTheme="minorHAnsi" w:hAnsiTheme="minorHAnsi" w:cstheme="minorHAnsi"/>
        </w:rPr>
      </w:pPr>
    </w:p>
    <w:p w:rsidR="00C71217" w:rsidRPr="00C71217" w:rsidRDefault="00C71217" w:rsidP="00E45ED3">
      <w:pPr>
        <w:ind w:left="851" w:right="58" w:firstLine="0"/>
        <w:jc w:val="both"/>
        <w:rPr>
          <w:rFonts w:asciiTheme="minorHAnsi" w:hAnsiTheme="minorHAnsi" w:cstheme="minorHAnsi"/>
        </w:rPr>
      </w:pPr>
      <w:r w:rsidRPr="00C71217">
        <w:rPr>
          <w:rFonts w:asciiTheme="minorHAnsi" w:hAnsiTheme="minorHAnsi" w:cstheme="minorHAnsi"/>
        </w:rPr>
        <w:t xml:space="preserve">In implementing </w:t>
      </w:r>
      <w:r w:rsidR="00E45ED3">
        <w:rPr>
          <w:rFonts w:asciiTheme="minorHAnsi" w:hAnsiTheme="minorHAnsi" w:cstheme="minorHAnsi"/>
        </w:rPr>
        <w:t>these recommendations</w:t>
      </w:r>
      <w:r w:rsidRPr="00C71217">
        <w:rPr>
          <w:rFonts w:asciiTheme="minorHAnsi" w:hAnsiTheme="minorHAnsi" w:cstheme="minorHAnsi"/>
        </w:rPr>
        <w:t xml:space="preserve">, the Committee will become more effective during </w:t>
      </w:r>
      <w:r w:rsidR="00E45ED3">
        <w:rPr>
          <w:rFonts w:asciiTheme="minorHAnsi" w:hAnsiTheme="minorHAnsi" w:cstheme="minorHAnsi"/>
        </w:rPr>
        <w:t>2018/19</w:t>
      </w:r>
      <w:r w:rsidRPr="00C71217">
        <w:rPr>
          <w:rFonts w:asciiTheme="minorHAnsi" w:hAnsiTheme="minorHAnsi" w:cstheme="minorHAnsi"/>
        </w:rPr>
        <w:t xml:space="preserve">. It recognises the significant challenges facing the </w:t>
      </w:r>
      <w:r w:rsidR="00E45ED3">
        <w:rPr>
          <w:rFonts w:asciiTheme="minorHAnsi" w:hAnsiTheme="minorHAnsi" w:cstheme="minorHAnsi"/>
        </w:rPr>
        <w:t>PCC</w:t>
      </w:r>
      <w:r w:rsidRPr="00C71217">
        <w:rPr>
          <w:rFonts w:asciiTheme="minorHAnsi" w:hAnsiTheme="minorHAnsi" w:cstheme="minorHAnsi"/>
        </w:rPr>
        <w:t xml:space="preserve"> and </w:t>
      </w:r>
      <w:r w:rsidR="00E45ED3">
        <w:rPr>
          <w:rFonts w:asciiTheme="minorHAnsi" w:hAnsiTheme="minorHAnsi" w:cstheme="minorHAnsi"/>
        </w:rPr>
        <w:t>CC</w:t>
      </w:r>
      <w:r w:rsidRPr="00C71217">
        <w:rPr>
          <w:rFonts w:asciiTheme="minorHAnsi" w:hAnsiTheme="minorHAnsi" w:cstheme="minorHAnsi"/>
        </w:rPr>
        <w:t xml:space="preserve"> and aims to support them in developing governance arrangements as they address key challenges while also meeting the continuing </w:t>
      </w:r>
      <w:r w:rsidR="00E45ED3">
        <w:rPr>
          <w:rFonts w:asciiTheme="minorHAnsi" w:hAnsiTheme="minorHAnsi" w:cstheme="minorHAnsi"/>
        </w:rPr>
        <w:t>financial constraints</w:t>
      </w:r>
      <w:r w:rsidRPr="00C71217">
        <w:rPr>
          <w:rFonts w:asciiTheme="minorHAnsi" w:hAnsiTheme="minorHAnsi" w:cstheme="minorHAnsi"/>
        </w:rPr>
        <w:t>.</w:t>
      </w:r>
    </w:p>
    <w:p w:rsidR="001E3A85" w:rsidRDefault="001E3A85" w:rsidP="00FA748F">
      <w:pPr>
        <w:jc w:val="both"/>
        <w:rPr>
          <w:rFonts w:ascii="Calibri" w:hAnsi="Calibri"/>
        </w:rPr>
      </w:pPr>
    </w:p>
    <w:p w:rsidR="001E3A85" w:rsidRDefault="001E3A85" w:rsidP="00FA748F">
      <w:pPr>
        <w:jc w:val="both"/>
        <w:rPr>
          <w:rFonts w:ascii="Calibri" w:hAnsi="Calibri"/>
        </w:rPr>
      </w:pPr>
    </w:p>
    <w:p w:rsidR="00663E69" w:rsidRDefault="00663E69" w:rsidP="00FA748F">
      <w:pPr>
        <w:jc w:val="both"/>
        <w:rPr>
          <w:rFonts w:ascii="Calibri" w:hAnsi="Calibri"/>
        </w:rPr>
      </w:pPr>
      <w:r>
        <w:rPr>
          <w:rFonts w:ascii="Calibri" w:hAnsi="Calibri"/>
        </w:rPr>
        <w:t>Jason Brine</w:t>
      </w:r>
    </w:p>
    <w:p w:rsidR="001E3A85" w:rsidRDefault="001E3A85" w:rsidP="00FA748F">
      <w:pPr>
        <w:jc w:val="both"/>
        <w:rPr>
          <w:rFonts w:ascii="Calibri" w:hAnsi="Calibri"/>
        </w:rPr>
      </w:pPr>
      <w:r>
        <w:rPr>
          <w:rFonts w:ascii="Calibri" w:hAnsi="Calibri"/>
        </w:rPr>
        <w:t>Chair of JIAC</w:t>
      </w:r>
    </w:p>
    <w:p w:rsidR="001E3A85" w:rsidRDefault="00663E69" w:rsidP="00FA748F">
      <w:pPr>
        <w:jc w:val="both"/>
        <w:rPr>
          <w:rFonts w:ascii="Calibri" w:hAnsi="Calibri"/>
        </w:rPr>
      </w:pPr>
      <w:r>
        <w:rPr>
          <w:rFonts w:ascii="Calibri" w:hAnsi="Calibri"/>
        </w:rPr>
        <w:t xml:space="preserve">DATE </w:t>
      </w:r>
      <w:r w:rsidR="001E3A85">
        <w:rPr>
          <w:rFonts w:ascii="Calibri" w:hAnsi="Calibri"/>
        </w:rPr>
        <w:t>201</w:t>
      </w:r>
      <w:r w:rsidR="00EC6A53">
        <w:rPr>
          <w:rFonts w:ascii="Calibri" w:hAnsi="Calibri"/>
        </w:rPr>
        <w:t>8</w:t>
      </w:r>
      <w:r w:rsidR="001E3A85">
        <w:rPr>
          <w:rFonts w:ascii="Calibri" w:hAnsi="Calibri"/>
        </w:rPr>
        <w:t xml:space="preserve">  </w:t>
      </w:r>
    </w:p>
    <w:p w:rsidR="00A6798F" w:rsidRDefault="00A6798F" w:rsidP="00FA748F">
      <w:pPr>
        <w:ind w:left="0" w:firstLine="0"/>
        <w:jc w:val="both"/>
        <w:rPr>
          <w:rFonts w:ascii="Calibri" w:hAnsi="Calibri"/>
        </w:rPr>
      </w:pPr>
      <w:r>
        <w:rPr>
          <w:rFonts w:ascii="Calibri" w:hAnsi="Calibri"/>
        </w:rPr>
        <w:br w:type="page"/>
      </w:r>
    </w:p>
    <w:p w:rsidR="00A6798F" w:rsidRDefault="00A6798F" w:rsidP="001F4FCD">
      <w:pPr>
        <w:jc w:val="both"/>
        <w:rPr>
          <w:rFonts w:ascii="Calibri" w:hAnsi="Calibri"/>
        </w:rPr>
        <w:sectPr w:rsidR="00A6798F" w:rsidSect="004E63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A6798F" w:rsidRDefault="00A6798F" w:rsidP="001F4FCD">
      <w:pPr>
        <w:jc w:val="both"/>
        <w:rPr>
          <w:rFonts w:ascii="Calibri" w:hAnsi="Calibri"/>
        </w:rPr>
      </w:pPr>
      <w:r>
        <w:rPr>
          <w:rFonts w:ascii="Calibri" w:hAnsi="Calibri"/>
        </w:rPr>
        <w:t>Appendix A</w:t>
      </w:r>
    </w:p>
    <w:p w:rsidR="00A6798F" w:rsidRPr="00A33D21" w:rsidRDefault="00A6798F" w:rsidP="001F4FCD">
      <w:pPr>
        <w:jc w:val="both"/>
        <w:rPr>
          <w:rFonts w:ascii="Calibri" w:hAnsi="Calibri"/>
          <w:u w:val="single"/>
        </w:rPr>
      </w:pPr>
      <w:r w:rsidRPr="00A33D21">
        <w:rPr>
          <w:rFonts w:ascii="Calibri" w:hAnsi="Calibri"/>
          <w:u w:val="single"/>
        </w:rPr>
        <w:t>Terms of Reference and Review</w:t>
      </w:r>
    </w:p>
    <w:p w:rsidR="00A6798F" w:rsidRDefault="00A6798F" w:rsidP="001F4FCD">
      <w:pPr>
        <w:jc w:val="both"/>
        <w:rPr>
          <w:rFonts w:ascii="Calibri" w:hAnsi="Calibri"/>
        </w:rPr>
      </w:pPr>
    </w:p>
    <w:tbl>
      <w:tblPr>
        <w:tblStyle w:val="PlainTable11"/>
        <w:tblW w:w="0" w:type="auto"/>
        <w:tblLayout w:type="fixed"/>
        <w:tblLook w:val="04A0" w:firstRow="1" w:lastRow="0" w:firstColumn="1" w:lastColumn="0" w:noHBand="0" w:noVBand="1"/>
      </w:tblPr>
      <w:tblGrid>
        <w:gridCol w:w="2263"/>
        <w:gridCol w:w="3261"/>
        <w:gridCol w:w="8363"/>
      </w:tblGrid>
      <w:tr w:rsidR="00A6798F" w:rsidRPr="006F757B" w:rsidTr="0056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A6798F" w:rsidRPr="006F757B" w:rsidRDefault="00A6798F" w:rsidP="00002905">
            <w:pPr>
              <w:pStyle w:val="Default"/>
              <w:rPr>
                <w:rFonts w:asciiTheme="minorHAnsi" w:hAnsiTheme="minorHAnsi" w:cstheme="minorHAnsi"/>
                <w:color w:val="auto"/>
              </w:rPr>
            </w:pPr>
            <w:r w:rsidRPr="006F757B">
              <w:rPr>
                <w:rFonts w:asciiTheme="minorHAnsi" w:hAnsiTheme="minorHAnsi" w:cstheme="minorHAnsi"/>
                <w:color w:val="auto"/>
              </w:rPr>
              <w:t xml:space="preserve">Internal Control Environment </w:t>
            </w:r>
          </w:p>
        </w:tc>
        <w:tc>
          <w:tcPr>
            <w:tcW w:w="3261" w:type="dxa"/>
          </w:tcPr>
          <w:p w:rsidR="00A6798F" w:rsidRDefault="00A6798F" w:rsidP="00002905">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6F757B">
              <w:rPr>
                <w:rFonts w:asciiTheme="minorHAnsi" w:hAnsiTheme="minorHAnsi" w:cstheme="minorHAnsi"/>
                <w:b w:val="0"/>
              </w:rPr>
              <w:t>Effectiveness</w:t>
            </w:r>
          </w:p>
          <w:p w:rsidR="00A6798F" w:rsidRPr="006F757B" w:rsidRDefault="00A6798F" w:rsidP="00002905">
            <w:pPr>
              <w:spacing w:line="259"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asciiTheme="minorHAnsi" w:hAnsiTheme="minorHAnsi" w:cstheme="minorHAnsi"/>
                <w:b w:val="0"/>
                <w:bCs w:val="0"/>
              </w:rPr>
              <w:t>Consider Annual Governance Statement and Accounts</w:t>
            </w:r>
          </w:p>
        </w:tc>
        <w:tc>
          <w:tcPr>
            <w:tcW w:w="8363" w:type="dxa"/>
          </w:tcPr>
          <w:p w:rsidR="00314848" w:rsidRPr="00314848" w:rsidRDefault="003148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Calibri" w:hAnsi="Calibri"/>
                <w:b w:val="0"/>
              </w:rPr>
            </w:pPr>
            <w:r>
              <w:rPr>
                <w:rFonts w:ascii="Calibri" w:hAnsi="Calibri"/>
                <w:b w:val="0"/>
              </w:rPr>
              <w:t>An</w:t>
            </w:r>
            <w:r w:rsidRPr="00314848">
              <w:rPr>
                <w:rFonts w:ascii="Calibri" w:hAnsi="Calibri"/>
                <w:b w:val="0"/>
              </w:rPr>
              <w:t xml:space="preserve"> internal audit tracker has </w:t>
            </w:r>
            <w:r>
              <w:rPr>
                <w:rFonts w:ascii="Calibri" w:hAnsi="Calibri"/>
                <w:b w:val="0"/>
              </w:rPr>
              <w:t xml:space="preserve">been </w:t>
            </w:r>
            <w:r w:rsidRPr="00314848">
              <w:rPr>
                <w:rFonts w:ascii="Calibri" w:hAnsi="Calibri"/>
                <w:b w:val="0"/>
              </w:rPr>
              <w:t xml:space="preserve">developed over the course of the year </w:t>
            </w:r>
            <w:r>
              <w:rPr>
                <w:rFonts w:ascii="Calibri" w:hAnsi="Calibri"/>
                <w:b w:val="0"/>
              </w:rPr>
              <w:t>to</w:t>
            </w:r>
            <w:r w:rsidRPr="00314848">
              <w:rPr>
                <w:rFonts w:ascii="Calibri" w:hAnsi="Calibri"/>
                <w:b w:val="0"/>
              </w:rPr>
              <w:t xml:space="preserve"> enable a high-level view of the progress being made by management in implementing actions following internal audit activity.  Any exceptions are reported to JIAC through the tracker.  The tracker is considered at each sitting of JIAC and facilitates discussion with officers around the residual exposure if actions are not completed.</w:t>
            </w:r>
          </w:p>
          <w:p w:rsidR="00314848" w:rsidRPr="00314848" w:rsidRDefault="003148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Calibri" w:hAnsi="Calibri"/>
                <w:b w:val="0"/>
              </w:rPr>
            </w:pPr>
            <w:r w:rsidRPr="00314848">
              <w:rPr>
                <w:rFonts w:ascii="Calibri" w:hAnsi="Calibri"/>
                <w:b w:val="0"/>
              </w:rPr>
              <w:t xml:space="preserve">A HMIC recommendations tracker has been in development throughout the year.  The format </w:t>
            </w:r>
            <w:r>
              <w:rPr>
                <w:rFonts w:ascii="Calibri" w:hAnsi="Calibri"/>
                <w:b w:val="0"/>
              </w:rPr>
              <w:t>r</w:t>
            </w:r>
            <w:r w:rsidRPr="00314848">
              <w:rPr>
                <w:rFonts w:ascii="Calibri" w:hAnsi="Calibri"/>
                <w:b w:val="0"/>
              </w:rPr>
              <w:t xml:space="preserve">equires further development in order to be effective as a management and oversight tool.  </w:t>
            </w:r>
          </w:p>
          <w:p w:rsidR="00314848" w:rsidRPr="00314848" w:rsidRDefault="003148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Calibri" w:hAnsi="Calibri"/>
                <w:b w:val="0"/>
              </w:rPr>
            </w:pPr>
            <w:r w:rsidRPr="00314848">
              <w:rPr>
                <w:rFonts w:ascii="Calibri" w:hAnsi="Calibri"/>
                <w:b w:val="0"/>
              </w:rPr>
              <w:t xml:space="preserve">JIAC considered the emerging drafts of the joint Annual Governance Statement (AGS) </w:t>
            </w:r>
            <w:r>
              <w:rPr>
                <w:rFonts w:ascii="Calibri" w:hAnsi="Calibri"/>
                <w:b w:val="0"/>
              </w:rPr>
              <w:t xml:space="preserve">and the organisations’ Accounts </w:t>
            </w:r>
            <w:r w:rsidRPr="00314848">
              <w:rPr>
                <w:rFonts w:ascii="Calibri" w:hAnsi="Calibri"/>
                <w:b w:val="0"/>
              </w:rPr>
              <w:t>for 2016/17 in June 2017 and September 2017.  Where relevant JIAC contributed to the development of the draft</w:t>
            </w:r>
            <w:r>
              <w:rPr>
                <w:rFonts w:ascii="Calibri" w:hAnsi="Calibri"/>
                <w:b w:val="0"/>
              </w:rPr>
              <w:t>s</w:t>
            </w:r>
            <w:r w:rsidRPr="00314848">
              <w:rPr>
                <w:rFonts w:ascii="Calibri" w:hAnsi="Calibri"/>
                <w:b w:val="0"/>
              </w:rPr>
              <w:t xml:space="preserve"> prior to recommending </w:t>
            </w:r>
            <w:r>
              <w:rPr>
                <w:rFonts w:ascii="Calibri" w:hAnsi="Calibri"/>
                <w:b w:val="0"/>
              </w:rPr>
              <w:t>t</w:t>
            </w:r>
            <w:r w:rsidR="00C9401E">
              <w:rPr>
                <w:rFonts w:ascii="Calibri" w:hAnsi="Calibri"/>
                <w:b w:val="0"/>
              </w:rPr>
              <w:t>h</w:t>
            </w:r>
            <w:r>
              <w:rPr>
                <w:rFonts w:ascii="Calibri" w:hAnsi="Calibri"/>
                <w:b w:val="0"/>
              </w:rPr>
              <w:t>em</w:t>
            </w:r>
            <w:r w:rsidRPr="00314848">
              <w:rPr>
                <w:rFonts w:ascii="Calibri" w:hAnsi="Calibri"/>
                <w:b w:val="0"/>
              </w:rPr>
              <w:t xml:space="preserve"> for approval to the PCC and CC.</w:t>
            </w:r>
          </w:p>
          <w:p w:rsidR="00A6798F" w:rsidRPr="006F757B" w:rsidRDefault="00314848" w:rsidP="00491DB2">
            <w:pPr>
              <w:numPr>
                <w:ilvl w:val="2"/>
                <w:numId w:val="5"/>
              </w:numPr>
              <w:ind w:left="467" w:right="36" w:hanging="425"/>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14848">
              <w:rPr>
                <w:rFonts w:ascii="Calibri" w:hAnsi="Calibri"/>
                <w:b w:val="0"/>
              </w:rPr>
              <w:t xml:space="preserve">In March 2018 JIAC received an update on the progress made with the areas for development that were contained in the </w:t>
            </w:r>
            <w:r>
              <w:rPr>
                <w:rFonts w:ascii="Calibri" w:hAnsi="Calibri"/>
                <w:b w:val="0"/>
              </w:rPr>
              <w:t>AGS</w:t>
            </w:r>
            <w:r w:rsidRPr="00314848">
              <w:rPr>
                <w:rFonts w:ascii="Calibri" w:hAnsi="Calibri"/>
                <w:b w:val="0"/>
              </w:rPr>
              <w:t xml:space="preserve"> for 2016/17.  It was noted at that time that one area for development would be carried forward to the 2017/18 AGS and although subject to some delay the remaining three areas for development were on track for completion.</w:t>
            </w:r>
            <w:r>
              <w:rPr>
                <w:rFonts w:ascii="Calibri" w:hAnsi="Calibri"/>
              </w:rPr>
              <w:t xml:space="preserve"> </w:t>
            </w:r>
          </w:p>
        </w:tc>
      </w:tr>
      <w:tr w:rsidR="00A6798F" w:rsidTr="005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A6798F" w:rsidRPr="006F757B" w:rsidRDefault="00A6798F" w:rsidP="00002905">
            <w:pPr>
              <w:pStyle w:val="Default"/>
              <w:rPr>
                <w:rFonts w:asciiTheme="minorHAnsi" w:hAnsiTheme="minorHAnsi" w:cstheme="minorHAnsi"/>
                <w:b w:val="0"/>
                <w:bCs w:val="0"/>
                <w:color w:val="auto"/>
              </w:rPr>
            </w:pPr>
            <w:r w:rsidRPr="006F757B">
              <w:rPr>
                <w:rFonts w:asciiTheme="minorHAnsi" w:hAnsiTheme="minorHAnsi" w:cstheme="minorHAnsi"/>
                <w:color w:val="auto"/>
              </w:rPr>
              <w:t xml:space="preserve">Corporate Risk Management </w:t>
            </w:r>
          </w:p>
        </w:tc>
        <w:tc>
          <w:tcPr>
            <w:tcW w:w="3261" w:type="dxa"/>
          </w:tcPr>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Approve risk management strategy</w:t>
            </w:r>
          </w:p>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Consider financial risks</w:t>
            </w:r>
          </w:p>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Effectiveness of risk management</w:t>
            </w:r>
          </w:p>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Oversight of risk registers</w:t>
            </w:r>
          </w:p>
        </w:tc>
        <w:tc>
          <w:tcPr>
            <w:tcW w:w="8363" w:type="dxa"/>
          </w:tcPr>
          <w:p w:rsidR="007D129D" w:rsidRPr="007D129D" w:rsidRDefault="00314848" w:rsidP="00491DB2">
            <w:pPr>
              <w:pStyle w:val="ListParagraph"/>
              <w:numPr>
                <w:ilvl w:val="0"/>
                <w:numId w:val="7"/>
              </w:numPr>
              <w:ind w:left="455" w:hanging="42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D129D">
              <w:rPr>
                <w:rFonts w:ascii="Calibri" w:hAnsi="Calibri"/>
              </w:rPr>
              <w:t xml:space="preserve">JIAC receive a quarterly update on risk register development and business continuity matters.  This provides JIAC with an overview of how this area is developing by reference to significant changes to the strategic risk register and a summary of any business continuity incidents. </w:t>
            </w:r>
          </w:p>
          <w:p w:rsidR="00A6798F" w:rsidRPr="007D129D" w:rsidRDefault="00314848" w:rsidP="00491DB2">
            <w:pPr>
              <w:pStyle w:val="ListParagraph"/>
              <w:numPr>
                <w:ilvl w:val="0"/>
                <w:numId w:val="7"/>
              </w:numPr>
              <w:ind w:left="455" w:hanging="425"/>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D129D">
              <w:rPr>
                <w:rFonts w:ascii="Calibri" w:hAnsi="Calibri"/>
              </w:rPr>
              <w:t xml:space="preserve">Throughout the period of this report JIAC have been kept informed </w:t>
            </w:r>
            <w:r w:rsidR="007D129D">
              <w:rPr>
                <w:rFonts w:ascii="Calibri" w:hAnsi="Calibri"/>
              </w:rPr>
              <w:t>of</w:t>
            </w:r>
            <w:r w:rsidRPr="007D129D">
              <w:rPr>
                <w:rFonts w:ascii="Calibri" w:hAnsi="Calibri"/>
              </w:rPr>
              <w:t xml:space="preserve"> the development of the principal risk register</w:t>
            </w:r>
            <w:r w:rsidR="007D129D">
              <w:rPr>
                <w:rFonts w:ascii="Calibri" w:hAnsi="Calibri"/>
              </w:rPr>
              <w:t xml:space="preserve"> which will be considered in 2018/19</w:t>
            </w:r>
          </w:p>
        </w:tc>
      </w:tr>
      <w:tr w:rsidR="00C9401E" w:rsidTr="005654DC">
        <w:tc>
          <w:tcPr>
            <w:cnfStyle w:val="001000000000" w:firstRow="0" w:lastRow="0" w:firstColumn="1" w:lastColumn="0" w:oddVBand="0" w:evenVBand="0" w:oddHBand="0" w:evenHBand="0" w:firstRowFirstColumn="0" w:firstRowLastColumn="0" w:lastRowFirstColumn="0" w:lastRowLastColumn="0"/>
            <w:tcW w:w="2263" w:type="dxa"/>
          </w:tcPr>
          <w:p w:rsidR="00C9401E" w:rsidRPr="006F757B" w:rsidRDefault="00C9401E" w:rsidP="00002905">
            <w:pPr>
              <w:pStyle w:val="Default"/>
              <w:rPr>
                <w:rFonts w:asciiTheme="minorHAnsi" w:hAnsiTheme="minorHAnsi" w:cstheme="minorHAnsi"/>
                <w:color w:val="auto"/>
              </w:rPr>
            </w:pPr>
            <w:r w:rsidRPr="006F757B">
              <w:rPr>
                <w:rFonts w:asciiTheme="minorHAnsi" w:hAnsiTheme="minorHAnsi" w:cstheme="minorHAnsi"/>
                <w:color w:val="auto"/>
              </w:rPr>
              <w:t>Regulatory Framework</w:t>
            </w:r>
          </w:p>
        </w:tc>
        <w:tc>
          <w:tcPr>
            <w:tcW w:w="3261" w:type="dxa"/>
          </w:tcPr>
          <w:p w:rsidR="00C9401E" w:rsidRDefault="00C9401E" w:rsidP="00C9401E">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Overview of governance framework</w:t>
            </w:r>
          </w:p>
          <w:p w:rsidR="00C9401E" w:rsidRDefault="00C9401E" w:rsidP="00C9401E">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of referred issues</w:t>
            </w:r>
          </w:p>
          <w:p w:rsidR="00C9401E" w:rsidRDefault="00C9401E" w:rsidP="00C9401E">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Whistleblowing and anti-fraud policies</w:t>
            </w:r>
          </w:p>
        </w:tc>
        <w:tc>
          <w:tcPr>
            <w:tcW w:w="8363" w:type="dxa"/>
          </w:tcPr>
          <w:p w:rsidR="00C9401E" w:rsidRDefault="00C9401E"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As </w:t>
            </w:r>
            <w:r w:rsidRPr="00C9401E">
              <w:rPr>
                <w:rFonts w:ascii="Calibri" w:hAnsi="Calibri"/>
              </w:rPr>
              <w:t xml:space="preserve">indicated above there is some overlap in the areas of coverage set out in the terms of reference.  The regulatory framework as defined in the terms of reference is linked to some of the other matters considered under a different heading in the plan during 2017/18.  For example, the JIAC coverage of Cyber Security and Information Risk and the General Data Protection Regulation (GDPR) covered under Information Governance </w:t>
            </w:r>
            <w:r>
              <w:rPr>
                <w:rFonts w:ascii="Calibri" w:hAnsi="Calibri"/>
              </w:rPr>
              <w:t xml:space="preserve">forms part of the review of the </w:t>
            </w:r>
            <w:r w:rsidRPr="00C9401E">
              <w:rPr>
                <w:rFonts w:ascii="Calibri" w:hAnsi="Calibri"/>
              </w:rPr>
              <w:t xml:space="preserve">regulatory framework.  </w:t>
            </w:r>
          </w:p>
          <w:p w:rsidR="00C9401E" w:rsidRPr="00C9401E" w:rsidRDefault="00C9401E"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No specific issues were referred to JIAC during the period.</w:t>
            </w:r>
          </w:p>
        </w:tc>
      </w:tr>
      <w:tr w:rsidR="00A6798F" w:rsidTr="005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A6798F" w:rsidRPr="006F757B" w:rsidRDefault="00A6798F" w:rsidP="00002905">
            <w:pPr>
              <w:pStyle w:val="Default"/>
              <w:rPr>
                <w:rFonts w:asciiTheme="minorHAnsi" w:hAnsiTheme="minorHAnsi" w:cstheme="minorHAnsi"/>
                <w:color w:val="auto"/>
              </w:rPr>
            </w:pPr>
            <w:r w:rsidRPr="006F757B">
              <w:rPr>
                <w:rFonts w:asciiTheme="minorHAnsi" w:hAnsiTheme="minorHAnsi" w:cstheme="minorHAnsi"/>
                <w:color w:val="auto"/>
              </w:rPr>
              <w:t xml:space="preserve">Internal Audit </w:t>
            </w:r>
          </w:p>
          <w:p w:rsidR="00A6798F" w:rsidRPr="006F757B" w:rsidRDefault="00A6798F" w:rsidP="00002905">
            <w:pPr>
              <w:pStyle w:val="Default"/>
              <w:rPr>
                <w:rFonts w:asciiTheme="minorHAnsi" w:hAnsiTheme="minorHAnsi" w:cstheme="minorHAnsi"/>
                <w:b w:val="0"/>
                <w:bCs w:val="0"/>
                <w:color w:val="auto"/>
              </w:rPr>
            </w:pPr>
          </w:p>
        </w:tc>
        <w:tc>
          <w:tcPr>
            <w:tcW w:w="3261" w:type="dxa"/>
          </w:tcPr>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Advise PCC and CC on appropriate arrangements</w:t>
            </w:r>
          </w:p>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Approve annual programme</w:t>
            </w:r>
          </w:p>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Oversight and provision of assurance on adequacy and effectiveness</w:t>
            </w:r>
          </w:p>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Consider annual findings</w:t>
            </w:r>
          </w:p>
          <w:p w:rsidR="00A6798F" w:rsidRDefault="00A6798F" w:rsidP="00002905">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Review effectiveness of PCC on fraud</w:t>
            </w:r>
          </w:p>
        </w:tc>
        <w:tc>
          <w:tcPr>
            <w:tcW w:w="8363" w:type="dxa"/>
          </w:tcPr>
          <w:p w:rsidR="00314848" w:rsidRPr="00C9401E" w:rsidRDefault="00314848"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9401E">
              <w:rPr>
                <w:rFonts w:ascii="Calibri" w:hAnsi="Calibri"/>
              </w:rPr>
              <w:t xml:space="preserve">Internal Audit services to the PCC and CC have been provided by RSM during the year. Internal Audit assignments are determined after an assessment of the risks associated with the various activities of the PCC and CC.  The Annual Internal Audit plan is developed to support the Police and Crime Plan Priorities and complement the risk management framework.  The Internal Audit plan also </w:t>
            </w:r>
            <w:r w:rsidR="00787AFC" w:rsidRPr="00C9401E">
              <w:rPr>
                <w:rFonts w:ascii="Calibri" w:hAnsi="Calibri"/>
              </w:rPr>
              <w:t>considers</w:t>
            </w:r>
            <w:r w:rsidRPr="00C9401E">
              <w:rPr>
                <w:rFonts w:ascii="Calibri" w:hAnsi="Calibri"/>
              </w:rPr>
              <w:t xml:space="preserve"> the work of External Audit and the other external inspection activity to which the PCC and CC are subject </w:t>
            </w:r>
            <w:r w:rsidR="00787AFC" w:rsidRPr="00C9401E">
              <w:rPr>
                <w:rFonts w:ascii="Calibri" w:hAnsi="Calibri"/>
              </w:rPr>
              <w:t>to</w:t>
            </w:r>
            <w:r w:rsidRPr="00C9401E">
              <w:rPr>
                <w:rFonts w:ascii="Calibri" w:hAnsi="Calibri"/>
              </w:rPr>
              <w:t xml:space="preserve"> avoid duplication. The Internal Audit Strategy for 2018/19 was prepared by RSM and </w:t>
            </w:r>
            <w:r w:rsidR="00C9401E">
              <w:rPr>
                <w:rFonts w:ascii="Calibri" w:hAnsi="Calibri"/>
              </w:rPr>
              <w:t>approved</w:t>
            </w:r>
            <w:r w:rsidRPr="00C9401E">
              <w:rPr>
                <w:rFonts w:ascii="Calibri" w:hAnsi="Calibri"/>
              </w:rPr>
              <w:t xml:space="preserve"> by the JIAC at its March 201</w:t>
            </w:r>
            <w:r w:rsidR="00C9401E">
              <w:rPr>
                <w:rFonts w:ascii="Calibri" w:hAnsi="Calibri"/>
              </w:rPr>
              <w:t>8</w:t>
            </w:r>
            <w:r w:rsidRPr="00C9401E">
              <w:rPr>
                <w:rFonts w:ascii="Calibri" w:hAnsi="Calibri"/>
              </w:rPr>
              <w:t xml:space="preserve"> meeting.</w:t>
            </w:r>
          </w:p>
          <w:p w:rsidR="00387AE4" w:rsidRDefault="00787AFC"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C9401E">
              <w:rPr>
                <w:rFonts w:ascii="Calibri" w:hAnsi="Calibri"/>
              </w:rPr>
              <w:t>During</w:t>
            </w:r>
            <w:r w:rsidR="00314848" w:rsidRPr="00C9401E">
              <w:rPr>
                <w:rFonts w:ascii="Calibri" w:hAnsi="Calibri"/>
              </w:rPr>
              <w:t xml:space="preserve"> the year the JIAC received quarterly progress reports from RSM in relation to the 2017/18 plan.  The JIAC has also received the final reports from each of the assignments completed during the year. </w:t>
            </w:r>
          </w:p>
          <w:p w:rsidR="00387AE4" w:rsidRDefault="00314848"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387AE4">
              <w:rPr>
                <w:rFonts w:ascii="Calibri" w:hAnsi="Calibri"/>
              </w:rPr>
              <w:t>There were eleven internal audit assignments undertaken in 201</w:t>
            </w:r>
            <w:r w:rsidR="00C9401E" w:rsidRPr="00387AE4">
              <w:rPr>
                <w:rFonts w:ascii="Calibri" w:hAnsi="Calibri"/>
              </w:rPr>
              <w:t>7</w:t>
            </w:r>
            <w:r w:rsidRPr="00387AE4">
              <w:rPr>
                <w:rFonts w:ascii="Calibri" w:hAnsi="Calibri"/>
              </w:rPr>
              <w:t>/1</w:t>
            </w:r>
            <w:r w:rsidR="00C9401E" w:rsidRPr="00387AE4">
              <w:rPr>
                <w:rFonts w:ascii="Calibri" w:hAnsi="Calibri"/>
              </w:rPr>
              <w:t>8</w:t>
            </w:r>
            <w:r w:rsidRPr="00387AE4">
              <w:rPr>
                <w:rFonts w:ascii="Calibri" w:hAnsi="Calibri"/>
              </w:rPr>
              <w:t xml:space="preserve"> that had assurance levels assigned to them.  </w:t>
            </w:r>
          </w:p>
          <w:p w:rsidR="00387AE4" w:rsidRPr="00387AE4" w:rsidRDefault="00314848" w:rsidP="00491DB2">
            <w:pPr>
              <w:pStyle w:val="ListParagraph"/>
              <w:numPr>
                <w:ilvl w:val="1"/>
                <w:numId w:val="8"/>
              </w:numPr>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387AE4">
              <w:rPr>
                <w:rFonts w:ascii="Calibri" w:hAnsi="Calibri"/>
              </w:rPr>
              <w:t xml:space="preserve">Two resulted in an assessment of </w:t>
            </w:r>
            <w:r w:rsidRPr="00387AE4">
              <w:rPr>
                <w:rFonts w:ascii="Calibri" w:hAnsi="Calibri"/>
                <w:b/>
              </w:rPr>
              <w:t>substantial assurance</w:t>
            </w:r>
          </w:p>
          <w:p w:rsidR="00387AE4" w:rsidRDefault="00387AE4" w:rsidP="00491DB2">
            <w:pPr>
              <w:pStyle w:val="ListParagraph"/>
              <w:numPr>
                <w:ilvl w:val="1"/>
                <w:numId w:val="8"/>
              </w:numPr>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F</w:t>
            </w:r>
            <w:r w:rsidR="00314848" w:rsidRPr="00387AE4">
              <w:rPr>
                <w:rFonts w:ascii="Calibri" w:hAnsi="Calibri"/>
              </w:rPr>
              <w:t xml:space="preserve">ive resulted in an assessment of </w:t>
            </w:r>
            <w:r w:rsidR="00314848" w:rsidRPr="00387AE4">
              <w:rPr>
                <w:rFonts w:ascii="Calibri" w:hAnsi="Calibri"/>
                <w:b/>
              </w:rPr>
              <w:t>reasonable assurance</w:t>
            </w:r>
          </w:p>
          <w:p w:rsidR="00387AE4" w:rsidRDefault="00387AE4" w:rsidP="00491DB2">
            <w:pPr>
              <w:pStyle w:val="ListParagraph"/>
              <w:numPr>
                <w:ilvl w:val="1"/>
                <w:numId w:val="8"/>
              </w:numPr>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F</w:t>
            </w:r>
            <w:r w:rsidR="00314848" w:rsidRPr="00387AE4">
              <w:rPr>
                <w:rFonts w:ascii="Calibri" w:hAnsi="Calibri"/>
              </w:rPr>
              <w:t xml:space="preserve">our reports that had an assessment of </w:t>
            </w:r>
            <w:r w:rsidR="00314848" w:rsidRPr="00387AE4">
              <w:rPr>
                <w:rFonts w:ascii="Calibri" w:hAnsi="Calibri"/>
                <w:b/>
              </w:rPr>
              <w:t>partial assurance</w:t>
            </w:r>
          </w:p>
          <w:p w:rsidR="00387AE4" w:rsidRDefault="00387AE4"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R</w:t>
            </w:r>
            <w:r w:rsidR="00314848" w:rsidRPr="00387AE4">
              <w:rPr>
                <w:rFonts w:ascii="Calibri" w:hAnsi="Calibri"/>
              </w:rPr>
              <w:t xml:space="preserve">SM advised </w:t>
            </w:r>
            <w:r>
              <w:rPr>
                <w:rFonts w:ascii="Calibri" w:hAnsi="Calibri"/>
              </w:rPr>
              <w:t xml:space="preserve">the </w:t>
            </w:r>
            <w:r>
              <w:rPr>
                <w:rFonts w:ascii="Calibri" w:hAnsi="Calibri"/>
                <w:b/>
              </w:rPr>
              <w:t xml:space="preserve">partial assurance </w:t>
            </w:r>
            <w:r>
              <w:rPr>
                <w:rFonts w:ascii="Calibri" w:hAnsi="Calibri"/>
              </w:rPr>
              <w:t>reports</w:t>
            </w:r>
            <w:r w:rsidR="00314848" w:rsidRPr="00387AE4">
              <w:rPr>
                <w:rFonts w:ascii="Calibri" w:hAnsi="Calibri"/>
              </w:rPr>
              <w:t xml:space="preserve"> be considered when completing the Joint Annual Governance Statement for 201</w:t>
            </w:r>
            <w:r>
              <w:rPr>
                <w:rFonts w:ascii="Calibri" w:hAnsi="Calibri"/>
              </w:rPr>
              <w:t>7</w:t>
            </w:r>
            <w:r w:rsidR="00314848" w:rsidRPr="00387AE4">
              <w:rPr>
                <w:rFonts w:ascii="Calibri" w:hAnsi="Calibri"/>
              </w:rPr>
              <w:t>/1</w:t>
            </w:r>
            <w:r>
              <w:rPr>
                <w:rFonts w:ascii="Calibri" w:hAnsi="Calibri"/>
              </w:rPr>
              <w:t>8</w:t>
            </w:r>
            <w:r w:rsidR="00314848" w:rsidRPr="00387AE4">
              <w:rPr>
                <w:rFonts w:ascii="Calibri" w:hAnsi="Calibri"/>
              </w:rPr>
              <w:t>.</w:t>
            </w:r>
          </w:p>
          <w:p w:rsidR="00314848" w:rsidRPr="00387AE4" w:rsidRDefault="00314848"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387AE4">
              <w:rPr>
                <w:rFonts w:ascii="Calibri" w:hAnsi="Calibri"/>
              </w:rPr>
              <w:t xml:space="preserve">RSM’s opinion based on the work completed in the reporting period for both the PCC and CC </w:t>
            </w:r>
            <w:r w:rsidR="00387AE4">
              <w:rPr>
                <w:rFonts w:ascii="Calibri" w:hAnsi="Calibri"/>
              </w:rPr>
              <w:t>was</w:t>
            </w:r>
            <w:r w:rsidRPr="00387AE4">
              <w:rPr>
                <w:rFonts w:ascii="Calibri" w:hAnsi="Calibri"/>
              </w:rPr>
              <w:t>:</w:t>
            </w:r>
          </w:p>
          <w:p w:rsidR="00334A58" w:rsidRDefault="00314848" w:rsidP="00387AE4">
            <w:pPr>
              <w:ind w:left="30" w:firstLine="0"/>
              <w:jc w:val="both"/>
              <w:cnfStyle w:val="000000100000" w:firstRow="0" w:lastRow="0" w:firstColumn="0" w:lastColumn="0" w:oddVBand="0" w:evenVBand="0" w:oddHBand="1" w:evenHBand="0" w:firstRowFirstColumn="0" w:firstRowLastColumn="0" w:lastRowFirstColumn="0" w:lastRowLastColumn="0"/>
              <w:rPr>
                <w:rFonts w:ascii="Calibri" w:hAnsi="Calibri"/>
                <w:i/>
              </w:rPr>
            </w:pPr>
            <w:r>
              <w:rPr>
                <w:rFonts w:ascii="Calibri" w:hAnsi="Calibri"/>
                <w:i/>
              </w:rPr>
              <w:t>“The organisations have an adequate and effective framework for risk management, governance and internal control.</w:t>
            </w:r>
            <w:r w:rsidR="00387AE4">
              <w:rPr>
                <w:rFonts w:ascii="Calibri" w:hAnsi="Calibri"/>
                <w:i/>
              </w:rPr>
              <w:t xml:space="preserve">  </w:t>
            </w:r>
          </w:p>
          <w:p w:rsidR="00334A58" w:rsidRDefault="00387AE4" w:rsidP="00387AE4">
            <w:pPr>
              <w:ind w:left="30" w:firstLine="0"/>
              <w:jc w:val="both"/>
              <w:cnfStyle w:val="000000100000" w:firstRow="0" w:lastRow="0" w:firstColumn="0" w:lastColumn="0" w:oddVBand="0" w:evenVBand="0" w:oddHBand="1" w:evenHBand="0" w:firstRowFirstColumn="0" w:firstRowLastColumn="0" w:lastRowFirstColumn="0" w:lastRowLastColumn="0"/>
              <w:rPr>
                <w:rFonts w:ascii="Calibri" w:hAnsi="Calibri"/>
                <w:i/>
              </w:rPr>
            </w:pPr>
            <w:r>
              <w:rPr>
                <w:rFonts w:ascii="Calibri" w:hAnsi="Calibri"/>
                <w:i/>
              </w:rPr>
              <w:t>H</w:t>
            </w:r>
            <w:r w:rsidR="00314848">
              <w:rPr>
                <w:rFonts w:ascii="Calibri" w:hAnsi="Calibri"/>
                <w:i/>
              </w:rPr>
              <w:t>owever, our work has identified further enhancements to the framework of risk management, governance and internal control to ensure that it remains adequate and effective.</w:t>
            </w:r>
          </w:p>
          <w:p w:rsidR="00A6798F" w:rsidRDefault="006F56DA" w:rsidP="00387AE4">
            <w:pPr>
              <w:ind w:left="30" w:firstLine="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i/>
              </w:rPr>
              <w:t>We have performed two Follow Up reviews during the year which concluded in g</w:t>
            </w:r>
            <w:r w:rsidR="00334A58">
              <w:rPr>
                <w:rFonts w:ascii="Calibri" w:hAnsi="Calibri"/>
                <w:i/>
              </w:rPr>
              <w:t xml:space="preserve">ood progress </w:t>
            </w:r>
            <w:r>
              <w:rPr>
                <w:rFonts w:ascii="Calibri" w:hAnsi="Calibri"/>
                <w:i/>
              </w:rPr>
              <w:t>being made towards implementation of actions.”</w:t>
            </w:r>
          </w:p>
        </w:tc>
      </w:tr>
      <w:tr w:rsidR="00F227D0" w:rsidTr="005654DC">
        <w:tc>
          <w:tcPr>
            <w:cnfStyle w:val="001000000000" w:firstRow="0" w:lastRow="0" w:firstColumn="1" w:lastColumn="0" w:oddVBand="0" w:evenVBand="0" w:oddHBand="0" w:evenHBand="0" w:firstRowFirstColumn="0" w:firstRowLastColumn="0" w:lastRowFirstColumn="0" w:lastRowLastColumn="0"/>
            <w:tcW w:w="2263" w:type="dxa"/>
          </w:tcPr>
          <w:p w:rsidR="00F227D0" w:rsidRPr="006F757B" w:rsidRDefault="00F227D0" w:rsidP="00F227D0">
            <w:pPr>
              <w:pStyle w:val="Default"/>
              <w:rPr>
                <w:rFonts w:asciiTheme="minorHAnsi" w:hAnsiTheme="minorHAnsi" w:cstheme="minorHAnsi"/>
                <w:color w:val="auto"/>
              </w:rPr>
            </w:pPr>
            <w:r w:rsidRPr="006F757B">
              <w:rPr>
                <w:rFonts w:asciiTheme="minorHAnsi" w:hAnsiTheme="minorHAnsi" w:cstheme="minorHAnsi"/>
                <w:color w:val="auto"/>
              </w:rPr>
              <w:t xml:space="preserve">External Audit </w:t>
            </w:r>
          </w:p>
          <w:p w:rsidR="00F227D0" w:rsidRPr="006F757B" w:rsidRDefault="00F227D0" w:rsidP="00F227D0">
            <w:pPr>
              <w:pStyle w:val="Default"/>
              <w:rPr>
                <w:rFonts w:asciiTheme="minorHAnsi" w:hAnsiTheme="minorHAnsi" w:cstheme="minorHAnsi"/>
                <w:color w:val="auto"/>
              </w:rPr>
            </w:pPr>
          </w:p>
        </w:tc>
        <w:tc>
          <w:tcPr>
            <w:tcW w:w="3261" w:type="dxa"/>
          </w:tcPr>
          <w:p w:rsidR="00F227D0" w:rsidRDefault="00F227D0" w:rsidP="00F227D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Advise PCC and CC on appointment</w:t>
            </w:r>
          </w:p>
          <w:p w:rsidR="00F227D0" w:rsidRDefault="00F227D0" w:rsidP="00F227D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Approve annual programme and fees</w:t>
            </w:r>
          </w:p>
          <w:p w:rsidR="00F227D0" w:rsidRDefault="00F227D0" w:rsidP="00F227D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reports and recommendations</w:t>
            </w:r>
          </w:p>
          <w:p w:rsidR="00F227D0" w:rsidRDefault="00F227D0" w:rsidP="00F227D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Annual Audit Letter</w:t>
            </w:r>
          </w:p>
        </w:tc>
        <w:tc>
          <w:tcPr>
            <w:tcW w:w="8363" w:type="dxa"/>
          </w:tcPr>
          <w:p w:rsidR="00F227D0" w:rsidRDefault="00F227D0"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5C37DB">
              <w:rPr>
                <w:rFonts w:ascii="Calibri" w:hAnsi="Calibri"/>
              </w:rPr>
              <w:t xml:space="preserve">Mazars LLP were the external auditors for the PCC and the CC during the year.  This appointment was made by the Audit Commission for a </w:t>
            </w:r>
            <w:r w:rsidR="00787AFC" w:rsidRPr="005C37DB">
              <w:rPr>
                <w:rFonts w:ascii="Calibri" w:hAnsi="Calibri"/>
              </w:rPr>
              <w:t>five-year</w:t>
            </w:r>
            <w:r w:rsidRPr="005C37DB">
              <w:rPr>
                <w:rFonts w:ascii="Calibri" w:hAnsi="Calibri"/>
              </w:rPr>
              <w:t xml:space="preserve"> term</w:t>
            </w:r>
            <w:r>
              <w:rPr>
                <w:rFonts w:ascii="Calibri" w:hAnsi="Calibri"/>
              </w:rPr>
              <w:t>.</w:t>
            </w:r>
          </w:p>
          <w:p w:rsidR="00F227D0" w:rsidRPr="00F227D0" w:rsidRDefault="00F227D0"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F227D0">
              <w:rPr>
                <w:rFonts w:ascii="Calibri" w:hAnsi="Calibri"/>
              </w:rPr>
              <w:t>Mazars reported the following in September 2017 in relation to their audit activity for the 2016/17 period:</w:t>
            </w:r>
          </w:p>
          <w:p w:rsidR="00F227D0" w:rsidRPr="00387AE4" w:rsidRDefault="00F227D0" w:rsidP="00F227D0">
            <w:pPr>
              <w:ind w:left="1164" w:hanging="709"/>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387AE4">
              <w:rPr>
                <w:rFonts w:ascii="Calibri" w:hAnsi="Calibri"/>
                <w:u w:val="single"/>
              </w:rPr>
              <w:t>Audits of the Financial Statements for the year ended 31 March 2017</w:t>
            </w:r>
          </w:p>
          <w:p w:rsidR="00F227D0" w:rsidRPr="00387AE4" w:rsidRDefault="00F227D0" w:rsidP="00F227D0">
            <w:pPr>
              <w:ind w:left="455" w:firstLine="0"/>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7418D3">
              <w:rPr>
                <w:rFonts w:ascii="Calibri" w:hAnsi="Calibri"/>
              </w:rPr>
              <w:t>The audit of the Statement of Accounts for 201</w:t>
            </w:r>
            <w:r>
              <w:rPr>
                <w:rFonts w:ascii="Calibri" w:hAnsi="Calibri"/>
              </w:rPr>
              <w:t>6</w:t>
            </w:r>
            <w:r w:rsidRPr="007418D3">
              <w:rPr>
                <w:rFonts w:ascii="Calibri" w:hAnsi="Calibri"/>
              </w:rPr>
              <w:t>/1</w:t>
            </w:r>
            <w:r>
              <w:rPr>
                <w:rFonts w:ascii="Calibri" w:hAnsi="Calibri"/>
              </w:rPr>
              <w:t>7</w:t>
            </w:r>
            <w:r w:rsidRPr="007418D3">
              <w:rPr>
                <w:rFonts w:ascii="Calibri" w:hAnsi="Calibri"/>
              </w:rPr>
              <w:t xml:space="preserve"> resulted in an unqualified audit opinion, without modification.  </w:t>
            </w:r>
            <w:r w:rsidRPr="00387AE4">
              <w:rPr>
                <w:rFonts w:ascii="Calibri" w:hAnsi="Calibri"/>
              </w:rPr>
              <w:t>The opinion of Mazars was that the financial statements</w:t>
            </w:r>
            <w:r>
              <w:rPr>
                <w:rFonts w:ascii="Calibri" w:hAnsi="Calibri"/>
              </w:rPr>
              <w:t>:</w:t>
            </w:r>
          </w:p>
          <w:p w:rsidR="00F227D0" w:rsidRDefault="00F227D0" w:rsidP="00491DB2">
            <w:pPr>
              <w:numPr>
                <w:ilvl w:val="3"/>
                <w:numId w:val="9"/>
              </w:num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387AE4">
              <w:rPr>
                <w:rFonts w:ascii="Calibri" w:hAnsi="Calibri"/>
              </w:rPr>
              <w:t>Gave a true and fair view of the financial position of the Group as at 31 March 2017 and of its expenditure and income for the year then ended; and</w:t>
            </w:r>
          </w:p>
          <w:p w:rsidR="00F227D0" w:rsidRPr="00387AE4" w:rsidRDefault="00F227D0" w:rsidP="00491DB2">
            <w:pPr>
              <w:numPr>
                <w:ilvl w:val="3"/>
                <w:numId w:val="9"/>
              </w:numPr>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387AE4">
              <w:rPr>
                <w:rFonts w:ascii="Calibri" w:hAnsi="Calibri"/>
              </w:rPr>
              <w:t>Had been prepared properly in accordance with the CIPFA/LASAAC Code of Practice on Local Authority Accounting in the United Kingdom 2016/17.</w:t>
            </w:r>
          </w:p>
          <w:p w:rsidR="00F227D0" w:rsidRPr="00884AF4" w:rsidRDefault="00F227D0" w:rsidP="00F227D0">
            <w:pPr>
              <w:ind w:hanging="339"/>
              <w:jc w:val="both"/>
              <w:cnfStyle w:val="000000000000" w:firstRow="0" w:lastRow="0" w:firstColumn="0" w:lastColumn="0" w:oddVBand="0" w:evenVBand="0" w:oddHBand="0" w:evenHBand="0" w:firstRowFirstColumn="0" w:firstRowLastColumn="0" w:lastRowFirstColumn="0" w:lastRowLastColumn="0"/>
              <w:rPr>
                <w:rFonts w:ascii="Calibri" w:hAnsi="Calibri"/>
                <w:u w:val="single"/>
              </w:rPr>
            </w:pPr>
            <w:r w:rsidRPr="00884AF4">
              <w:rPr>
                <w:rFonts w:ascii="Calibri" w:hAnsi="Calibri"/>
                <w:u w:val="single"/>
              </w:rPr>
              <w:t xml:space="preserve">Annual Completion Reports </w:t>
            </w:r>
          </w:p>
          <w:p w:rsidR="00F227D0" w:rsidRPr="004D7353" w:rsidRDefault="00F227D0" w:rsidP="00F227D0">
            <w:pPr>
              <w:ind w:left="455" w:firstLine="0"/>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The completion report set out the outcome of the audit and highlighted any issues that Mazars were required to bring to the JIAC’s attention.  Any matters that arose as part of the audit were resolved during the process and the reports confirmed that there were no additional matters to report in relation to the oversight of the financial reporting process.  </w:t>
            </w:r>
          </w:p>
          <w:p w:rsidR="00F227D0" w:rsidRDefault="00F227D0" w:rsidP="00F227D0">
            <w:pPr>
              <w:ind w:left="0" w:firstLine="455"/>
              <w:jc w:val="both"/>
              <w:cnfStyle w:val="000000000000" w:firstRow="0" w:lastRow="0" w:firstColumn="0" w:lastColumn="0" w:oddVBand="0" w:evenVBand="0" w:oddHBand="0" w:evenHBand="0" w:firstRowFirstColumn="0" w:firstRowLastColumn="0" w:lastRowFirstColumn="0" w:lastRowLastColumn="0"/>
              <w:rPr>
                <w:rFonts w:ascii="Calibri" w:hAnsi="Calibri"/>
                <w:u w:val="single"/>
              </w:rPr>
            </w:pPr>
            <w:r w:rsidRPr="00884AF4">
              <w:rPr>
                <w:rFonts w:ascii="Calibri" w:hAnsi="Calibri"/>
                <w:u w:val="single"/>
              </w:rPr>
              <w:t>Value for Money Conclusions</w:t>
            </w:r>
          </w:p>
          <w:p w:rsidR="00F227D0" w:rsidRPr="00C9401E" w:rsidRDefault="00F227D0" w:rsidP="00F227D0">
            <w:pPr>
              <w:pStyle w:val="ListParagraph"/>
              <w:ind w:left="455" w:firstLine="0"/>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Mazars were required to come to a Value for Money conclusion in respect of the organisations.  For the year ended 31 March 2017 Mazars concluded that both had put in place proper arrangements for securing economy, efficiency and effectiveness in their use of resources.</w:t>
            </w:r>
          </w:p>
        </w:tc>
      </w:tr>
      <w:tr w:rsidR="00F227D0" w:rsidTr="005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F227D0" w:rsidRPr="006F757B" w:rsidRDefault="00F227D0" w:rsidP="00F227D0">
            <w:pPr>
              <w:pStyle w:val="Default"/>
              <w:rPr>
                <w:rFonts w:asciiTheme="minorHAnsi" w:hAnsiTheme="minorHAnsi" w:cstheme="minorHAnsi"/>
                <w:color w:val="auto"/>
              </w:rPr>
            </w:pPr>
            <w:r w:rsidRPr="006F757B">
              <w:rPr>
                <w:rFonts w:asciiTheme="minorHAnsi" w:hAnsiTheme="minorHAnsi" w:cstheme="minorHAnsi"/>
                <w:color w:val="auto"/>
              </w:rPr>
              <w:t>Financial Reporting</w:t>
            </w:r>
          </w:p>
          <w:p w:rsidR="00F227D0" w:rsidRPr="006F757B" w:rsidRDefault="00F227D0" w:rsidP="00F227D0">
            <w:pPr>
              <w:pStyle w:val="Default"/>
              <w:rPr>
                <w:rFonts w:asciiTheme="minorHAnsi" w:hAnsiTheme="minorHAnsi" w:cstheme="minorHAnsi"/>
                <w:color w:val="auto"/>
              </w:rPr>
            </w:pPr>
          </w:p>
        </w:tc>
        <w:tc>
          <w:tcPr>
            <w:tcW w:w="3261" w:type="dxa"/>
          </w:tcPr>
          <w:p w:rsidR="00F227D0" w:rsidRDefault="00F227D0" w:rsidP="00F227D0">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757B">
              <w:rPr>
                <w:rFonts w:asciiTheme="minorHAnsi" w:hAnsiTheme="minorHAnsi" w:cstheme="minorHAnsi"/>
              </w:rPr>
              <w:t>Reviewing the Annual Statement of Accounts</w:t>
            </w:r>
          </w:p>
          <w:p w:rsidR="00F227D0" w:rsidRDefault="00F227D0" w:rsidP="00F227D0">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F757B">
              <w:rPr>
                <w:rFonts w:asciiTheme="minorHAnsi" w:hAnsiTheme="minorHAnsi" w:cstheme="minorHAnsi"/>
              </w:rPr>
              <w:t>Considering appropriate</w:t>
            </w:r>
            <w:r>
              <w:rPr>
                <w:rFonts w:asciiTheme="minorHAnsi" w:hAnsiTheme="minorHAnsi" w:cstheme="minorHAnsi"/>
              </w:rPr>
              <w:t xml:space="preserve">ness of </w:t>
            </w:r>
            <w:r w:rsidRPr="006F757B">
              <w:rPr>
                <w:rFonts w:asciiTheme="minorHAnsi" w:hAnsiTheme="minorHAnsi" w:cstheme="minorHAnsi"/>
              </w:rPr>
              <w:t>accounting policies</w:t>
            </w:r>
          </w:p>
        </w:tc>
        <w:tc>
          <w:tcPr>
            <w:tcW w:w="8363" w:type="dxa"/>
          </w:tcPr>
          <w:p w:rsidR="00F227D0" w:rsidRDefault="00F227D0" w:rsidP="00491DB2">
            <w:pPr>
              <w:pStyle w:val="ListParagraph"/>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F227D0">
              <w:rPr>
                <w:rFonts w:ascii="Calibri" w:hAnsi="Calibri"/>
              </w:rPr>
              <w:t>During the year the JIAC consideration of matters pertinent to Financial Reporting has included the presentation of the draft and final accounts for 2016/17.  These were presented to JIAC in draft form both prior to and post external audit scrutiny at the June 2017 and September 2017 sessions respectively.</w:t>
            </w:r>
          </w:p>
          <w:p w:rsidR="00F227D0" w:rsidRDefault="00F227D0" w:rsidP="00491DB2">
            <w:pPr>
              <w:pStyle w:val="ListParagraph"/>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F227D0">
              <w:rPr>
                <w:rFonts w:ascii="Calibri" w:hAnsi="Calibri"/>
              </w:rPr>
              <w:t>A report pertaining to the review of current accounting policies was considered in March 2018.  This provided an overview to JIAC in advance of the reporting of the draft accounts for 2017/18 later that year.</w:t>
            </w:r>
          </w:p>
          <w:p w:rsidR="00F227D0" w:rsidRPr="00F227D0" w:rsidRDefault="00F227D0" w:rsidP="00491DB2">
            <w:pPr>
              <w:pStyle w:val="ListParagraph"/>
              <w:numPr>
                <w:ilvl w:val="0"/>
                <w:numId w:val="10"/>
              </w:numPr>
              <w:ind w:left="455" w:hanging="45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F227D0">
              <w:rPr>
                <w:rFonts w:ascii="Calibri" w:hAnsi="Calibri"/>
              </w:rPr>
              <w:t>A quarterly item is listed on the Work Plan for “in year financial monitoring and the medium term financial plan”.</w:t>
            </w:r>
          </w:p>
        </w:tc>
      </w:tr>
      <w:tr w:rsidR="00E773F0" w:rsidTr="005654DC">
        <w:tc>
          <w:tcPr>
            <w:cnfStyle w:val="001000000000" w:firstRow="0" w:lastRow="0" w:firstColumn="1" w:lastColumn="0" w:oddVBand="0" w:evenVBand="0" w:oddHBand="0" w:evenHBand="0" w:firstRowFirstColumn="0" w:firstRowLastColumn="0" w:lastRowFirstColumn="0" w:lastRowLastColumn="0"/>
            <w:tcW w:w="2263" w:type="dxa"/>
          </w:tcPr>
          <w:p w:rsidR="00E773F0" w:rsidRPr="006F757B" w:rsidRDefault="00E773F0" w:rsidP="00E773F0">
            <w:pPr>
              <w:pStyle w:val="Default"/>
              <w:rPr>
                <w:rFonts w:asciiTheme="minorHAnsi" w:hAnsiTheme="minorHAnsi" w:cstheme="minorHAnsi"/>
                <w:color w:val="auto"/>
              </w:rPr>
            </w:pPr>
            <w:r w:rsidRPr="006F757B">
              <w:rPr>
                <w:rFonts w:asciiTheme="minorHAnsi" w:hAnsiTheme="minorHAnsi" w:cstheme="minorHAnsi"/>
                <w:color w:val="auto"/>
              </w:rPr>
              <w:t xml:space="preserve">Inspection and Review </w:t>
            </w:r>
          </w:p>
        </w:tc>
        <w:tc>
          <w:tcPr>
            <w:tcW w:w="3261" w:type="dxa"/>
          </w:tcPr>
          <w:p w:rsidR="00E773F0" w:rsidRDefault="00E773F0" w:rsidP="00E773F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Consider external review agencies reports</w:t>
            </w:r>
          </w:p>
        </w:tc>
        <w:tc>
          <w:tcPr>
            <w:tcW w:w="8363" w:type="dxa"/>
          </w:tcPr>
          <w:p w:rsidR="00E773F0" w:rsidRDefault="00E773F0" w:rsidP="00491DB2">
            <w:pPr>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External agencies reports are considered at each meeting by reference to any relevant reports released between meetings.  During the reporting period reports relevant to this theme have been produced by Her Majesty’s Inspectorate of Constabulary and Fire and Rescue Services (HMICFRS).</w:t>
            </w:r>
          </w:p>
          <w:p w:rsidR="00E773F0" w:rsidRDefault="00E773F0" w:rsidP="00491DB2">
            <w:pPr>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73F0">
              <w:rPr>
                <w:rFonts w:ascii="Calibri" w:hAnsi="Calibri"/>
              </w:rPr>
              <w:t>Whilst JIAC do not consider each HMICFRS report in detail, assurance is sought from officers that appropriate consideration and action is taken in respect of the report recommendations.  This is particularly the case if there has been a grading of “inadequate” or “requires improvement”.</w:t>
            </w:r>
          </w:p>
          <w:p w:rsidR="00E773F0" w:rsidRPr="00E773F0" w:rsidRDefault="00E773F0" w:rsidP="00491DB2">
            <w:pPr>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73F0">
              <w:rPr>
                <w:rFonts w:ascii="Calibri" w:hAnsi="Calibri"/>
              </w:rPr>
              <w:t>A HMIC recommendations tracker remains in development.</w:t>
            </w:r>
          </w:p>
        </w:tc>
      </w:tr>
      <w:tr w:rsidR="00E773F0" w:rsidTr="0056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E773F0" w:rsidRPr="006F757B" w:rsidRDefault="00E773F0" w:rsidP="00E773F0">
            <w:pPr>
              <w:pStyle w:val="Default"/>
              <w:rPr>
                <w:rFonts w:asciiTheme="minorHAnsi" w:hAnsiTheme="minorHAnsi" w:cstheme="minorHAnsi"/>
                <w:color w:val="auto"/>
              </w:rPr>
            </w:pPr>
            <w:r w:rsidRPr="006F757B">
              <w:rPr>
                <w:rFonts w:asciiTheme="minorHAnsi" w:hAnsiTheme="minorHAnsi" w:cstheme="minorHAnsi"/>
                <w:color w:val="auto"/>
              </w:rPr>
              <w:t xml:space="preserve">Civil Claims </w:t>
            </w:r>
          </w:p>
        </w:tc>
        <w:tc>
          <w:tcPr>
            <w:tcW w:w="3261" w:type="dxa"/>
          </w:tcPr>
          <w:p w:rsidR="00E773F0" w:rsidRDefault="00E773F0" w:rsidP="00E773F0">
            <w:pPr>
              <w:spacing w:line="259"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w:t>
            </w:r>
            <w:r w:rsidRPr="006F757B">
              <w:rPr>
                <w:rFonts w:asciiTheme="minorHAnsi" w:hAnsiTheme="minorHAnsi" w:cstheme="minorHAnsi"/>
              </w:rPr>
              <w:t>verview of civil claims</w:t>
            </w:r>
            <w:r>
              <w:rPr>
                <w:rFonts w:asciiTheme="minorHAnsi" w:hAnsiTheme="minorHAnsi" w:cstheme="minorHAnsi"/>
              </w:rPr>
              <w:t xml:space="preserve"> and other legal proceedings</w:t>
            </w:r>
          </w:p>
        </w:tc>
        <w:tc>
          <w:tcPr>
            <w:tcW w:w="8363" w:type="dxa"/>
          </w:tcPr>
          <w:p w:rsidR="00E773F0" w:rsidRDefault="00E773F0"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E773F0">
              <w:rPr>
                <w:rFonts w:ascii="Calibri" w:hAnsi="Calibri"/>
              </w:rPr>
              <w:t>At the September 2017 session JIAC received an overview of an in-house claims handling audit that was undertaken by Gallagher Bassett.</w:t>
            </w:r>
            <w:r w:rsidRPr="00493BC7">
              <w:t xml:space="preserve"> </w:t>
            </w:r>
            <w:r w:rsidRPr="00E773F0">
              <w:rPr>
                <w:rFonts w:ascii="Calibri" w:hAnsi="Calibri"/>
              </w:rPr>
              <w:t>Gallagher Bassett are external claims handlers who conducted a due diligence and file handling audit of public liability claims handled in-house by Joint Corporate Legal Services (JCLS).  This was the third audit of this kind that had taken place and it was noted that an overall assessment of “exemplary” was received for this area</w:t>
            </w:r>
            <w:r>
              <w:rPr>
                <w:rFonts w:ascii="Calibri" w:hAnsi="Calibri"/>
              </w:rPr>
              <w:t>.</w:t>
            </w:r>
          </w:p>
          <w:p w:rsidR="00E773F0" w:rsidRDefault="00E773F0"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E773F0">
              <w:rPr>
                <w:rFonts w:ascii="Calibri" w:hAnsi="Calibri"/>
              </w:rPr>
              <w:t xml:space="preserve">The JIAC plan of work currently has civil claims as an annual item.  Whilst the Gallagher Bassett report provided assurance in relation to handling of public liability claims, it is recognised that there is a wider aspect to civil claims.  It is proposed that in future the JIAC will receive a wider report on all civil claims activity on a quarterly basis </w:t>
            </w:r>
            <w:r w:rsidR="00787AFC" w:rsidRPr="00E773F0">
              <w:rPr>
                <w:rFonts w:ascii="Calibri" w:hAnsi="Calibri"/>
              </w:rPr>
              <w:t>to</w:t>
            </w:r>
            <w:r w:rsidRPr="00E773F0">
              <w:rPr>
                <w:rFonts w:ascii="Calibri" w:hAnsi="Calibri"/>
              </w:rPr>
              <w:t xml:space="preserve"> provide a higher level of assurance to the PCC and CC about the governance of this area.</w:t>
            </w:r>
          </w:p>
          <w:p w:rsidR="00E773F0" w:rsidRPr="00E773F0" w:rsidRDefault="00E773F0" w:rsidP="00491DB2">
            <w:pPr>
              <w:pStyle w:val="ListParagraph"/>
              <w:numPr>
                <w:ilvl w:val="0"/>
                <w:numId w:val="8"/>
              </w:numPr>
              <w:ind w:left="455" w:hanging="425"/>
              <w:jc w:val="both"/>
              <w:cnfStyle w:val="000000100000" w:firstRow="0" w:lastRow="0" w:firstColumn="0" w:lastColumn="0" w:oddVBand="0" w:evenVBand="0" w:oddHBand="1" w:evenHBand="0" w:firstRowFirstColumn="0" w:firstRowLastColumn="0" w:lastRowFirstColumn="0" w:lastRowLastColumn="0"/>
              <w:rPr>
                <w:rFonts w:ascii="Calibri" w:hAnsi="Calibri"/>
              </w:rPr>
            </w:pPr>
            <w:r w:rsidRPr="00E773F0">
              <w:rPr>
                <w:rFonts w:ascii="Calibri" w:hAnsi="Calibri"/>
              </w:rPr>
              <w:t xml:space="preserve">On a similar note the current terms of reference do not contain reference to complaints as currently drawn.  It is therefore proposed that the JIAC </w:t>
            </w:r>
            <w:r w:rsidR="004822A0">
              <w:rPr>
                <w:rFonts w:ascii="Calibri" w:hAnsi="Calibri"/>
              </w:rPr>
              <w:t xml:space="preserve">during 2018-19 consider a proposal to recommend extending the terms of reference </w:t>
            </w:r>
            <w:r w:rsidRPr="00E773F0">
              <w:rPr>
                <w:rFonts w:ascii="Calibri" w:hAnsi="Calibri"/>
              </w:rPr>
              <w:t xml:space="preserve">to cover </w:t>
            </w:r>
            <w:r w:rsidR="00057664">
              <w:rPr>
                <w:rFonts w:ascii="Calibri" w:hAnsi="Calibri"/>
              </w:rPr>
              <w:t>m</w:t>
            </w:r>
            <w:r w:rsidR="004822A0">
              <w:rPr>
                <w:rFonts w:ascii="Calibri" w:hAnsi="Calibri"/>
              </w:rPr>
              <w:t>onitoring the</w:t>
            </w:r>
            <w:r w:rsidR="00057664">
              <w:rPr>
                <w:rFonts w:ascii="Calibri" w:hAnsi="Calibri"/>
              </w:rPr>
              <w:t xml:space="preserve"> </w:t>
            </w:r>
            <w:r w:rsidR="004822A0">
              <w:rPr>
                <w:rFonts w:ascii="Calibri" w:hAnsi="Calibri"/>
              </w:rPr>
              <w:t xml:space="preserve">policies </w:t>
            </w:r>
            <w:r w:rsidR="00057664">
              <w:rPr>
                <w:rFonts w:ascii="Calibri" w:hAnsi="Calibri"/>
              </w:rPr>
              <w:t xml:space="preserve">relating to dealing with </w:t>
            </w:r>
            <w:r w:rsidRPr="00E773F0">
              <w:rPr>
                <w:rFonts w:ascii="Calibri" w:hAnsi="Calibri"/>
              </w:rPr>
              <w:t>complaints.</w:t>
            </w:r>
          </w:p>
        </w:tc>
      </w:tr>
      <w:tr w:rsidR="00E773F0" w:rsidTr="005654DC">
        <w:tc>
          <w:tcPr>
            <w:cnfStyle w:val="001000000000" w:firstRow="0" w:lastRow="0" w:firstColumn="1" w:lastColumn="0" w:oddVBand="0" w:evenVBand="0" w:oddHBand="0" w:evenHBand="0" w:firstRowFirstColumn="0" w:firstRowLastColumn="0" w:lastRowFirstColumn="0" w:lastRowLastColumn="0"/>
            <w:tcW w:w="2263" w:type="dxa"/>
          </w:tcPr>
          <w:p w:rsidR="00E773F0" w:rsidRPr="006F757B" w:rsidRDefault="00E773F0" w:rsidP="00E773F0">
            <w:pPr>
              <w:pStyle w:val="Default"/>
              <w:rPr>
                <w:rFonts w:asciiTheme="minorHAnsi" w:hAnsiTheme="minorHAnsi" w:cstheme="minorHAnsi"/>
                <w:color w:val="auto"/>
              </w:rPr>
            </w:pPr>
            <w:r w:rsidRPr="006F757B">
              <w:rPr>
                <w:rFonts w:asciiTheme="minorHAnsi" w:hAnsiTheme="minorHAnsi" w:cstheme="minorHAnsi"/>
                <w:color w:val="auto"/>
              </w:rPr>
              <w:t xml:space="preserve">Information Governance </w:t>
            </w:r>
          </w:p>
        </w:tc>
        <w:tc>
          <w:tcPr>
            <w:tcW w:w="3261" w:type="dxa"/>
          </w:tcPr>
          <w:p w:rsidR="00E773F0" w:rsidRDefault="00E773F0" w:rsidP="00E773F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757B">
              <w:rPr>
                <w:rFonts w:asciiTheme="minorHAnsi" w:hAnsiTheme="minorHAnsi" w:cstheme="minorHAnsi"/>
              </w:rPr>
              <w:t xml:space="preserve">Reviewing </w:t>
            </w:r>
            <w:r>
              <w:rPr>
                <w:rFonts w:asciiTheme="minorHAnsi" w:hAnsiTheme="minorHAnsi" w:cstheme="minorHAnsi"/>
              </w:rPr>
              <w:t xml:space="preserve">associated </w:t>
            </w:r>
            <w:r w:rsidRPr="006F757B">
              <w:rPr>
                <w:rFonts w:asciiTheme="minorHAnsi" w:hAnsiTheme="minorHAnsi" w:cstheme="minorHAnsi"/>
              </w:rPr>
              <w:t>Corporate Strategy</w:t>
            </w:r>
          </w:p>
          <w:p w:rsidR="00E773F0" w:rsidRDefault="00E773F0" w:rsidP="00E773F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Review reports from </w:t>
            </w:r>
            <w:r w:rsidRPr="006F757B">
              <w:rPr>
                <w:rFonts w:asciiTheme="minorHAnsi" w:hAnsiTheme="minorHAnsi" w:cstheme="minorHAnsi"/>
              </w:rPr>
              <w:t>Senior Information Risk Owner</w:t>
            </w:r>
          </w:p>
          <w:p w:rsidR="00E773F0" w:rsidRDefault="00E773F0" w:rsidP="00E773F0">
            <w:pPr>
              <w:spacing w:line="259" w:lineRule="auto"/>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757B">
              <w:rPr>
                <w:rFonts w:asciiTheme="minorHAnsi" w:hAnsiTheme="minorHAnsi" w:cstheme="minorHAnsi"/>
              </w:rPr>
              <w:t>Considering any implications for governance</w:t>
            </w:r>
          </w:p>
        </w:tc>
        <w:tc>
          <w:tcPr>
            <w:tcW w:w="8363" w:type="dxa"/>
          </w:tcPr>
          <w:p w:rsidR="00E773F0" w:rsidRDefault="00E773F0"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73F0">
              <w:rPr>
                <w:rFonts w:ascii="Calibri" w:hAnsi="Calibri"/>
              </w:rPr>
              <w:t xml:space="preserve">JIAC received an overview of Information Governance by way of two presentations during the year.  </w:t>
            </w:r>
          </w:p>
          <w:p w:rsidR="00E773F0" w:rsidRDefault="00E773F0"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73F0">
              <w:rPr>
                <w:rFonts w:ascii="Calibri" w:hAnsi="Calibri"/>
              </w:rPr>
              <w:t>December 2017, Rich Jones (Chief Digital Information Officer) attended and responded in a question and answer session following JIAC’s consideration of the National Audit Office guide on “Cyber Security and information risk guidance for Audit Committees”.  This provided JIAC with assurance in relation to this area.</w:t>
            </w:r>
          </w:p>
          <w:p w:rsidR="00E773F0" w:rsidRPr="00E773F0" w:rsidRDefault="00E773F0" w:rsidP="00491DB2">
            <w:pPr>
              <w:pStyle w:val="ListParagraph"/>
              <w:numPr>
                <w:ilvl w:val="0"/>
                <w:numId w:val="8"/>
              </w:numPr>
              <w:ind w:left="455" w:hanging="425"/>
              <w:jc w:val="both"/>
              <w:cnfStyle w:val="000000000000" w:firstRow="0" w:lastRow="0" w:firstColumn="0" w:lastColumn="0" w:oddVBand="0" w:evenVBand="0" w:oddHBand="0" w:evenHBand="0" w:firstRowFirstColumn="0" w:firstRowLastColumn="0" w:lastRowFirstColumn="0" w:lastRowLastColumn="0"/>
              <w:rPr>
                <w:rFonts w:ascii="Calibri" w:hAnsi="Calibri"/>
              </w:rPr>
            </w:pPr>
            <w:r w:rsidRPr="00E773F0">
              <w:rPr>
                <w:rFonts w:ascii="Calibri" w:hAnsi="Calibri"/>
              </w:rPr>
              <w:t>Preparation for the General Data Protection Regulation (GDPR) was covered in the March 2018 session.  Ashley Malone (Police Lawyer – Civil Disclosure) provided responses in a question and answer session about the plan to prepare for the introduction of the new regime in May.  Whilst it was acknowledged that this was work in progress JIAC were provided with continuing assurance and noted that GDPR was included in the Internal Audit Plan for 2018/19.</w:t>
            </w:r>
          </w:p>
        </w:tc>
      </w:tr>
    </w:tbl>
    <w:p w:rsidR="00490B12" w:rsidRPr="008615ED" w:rsidRDefault="00490B12" w:rsidP="008615ED">
      <w:pPr>
        <w:ind w:left="0" w:firstLine="0"/>
        <w:rPr>
          <w:rFonts w:ascii="Calibri" w:hAnsi="Calibri"/>
        </w:rPr>
        <w:sectPr w:rsidR="00490B12" w:rsidRPr="008615ED" w:rsidSect="008615ED">
          <w:pgSz w:w="16838" w:h="11906" w:orient="landscape"/>
          <w:pgMar w:top="1440" w:right="1440" w:bottom="1440" w:left="1440" w:header="567" w:footer="567" w:gutter="0"/>
          <w:cols w:space="708"/>
          <w:titlePg/>
          <w:docGrid w:linePitch="360"/>
        </w:sectPr>
      </w:pPr>
    </w:p>
    <w:p w:rsidR="00663E69" w:rsidRDefault="00490B12" w:rsidP="00663E69">
      <w:pPr>
        <w:ind w:right="57"/>
        <w:rPr>
          <w:rFonts w:asciiTheme="minorHAnsi" w:eastAsia="Arial" w:hAnsiTheme="minorHAnsi" w:cstheme="minorHAnsi"/>
        </w:rPr>
      </w:pPr>
      <w:r w:rsidRPr="00490B12">
        <w:rPr>
          <w:rFonts w:asciiTheme="minorHAnsi" w:eastAsia="Arial" w:hAnsiTheme="minorHAnsi" w:cstheme="minorHAnsi"/>
        </w:rPr>
        <w:t>Appendix B</w:t>
      </w:r>
    </w:p>
    <w:p w:rsidR="00490B12" w:rsidRPr="00A33D21" w:rsidRDefault="00490B12" w:rsidP="00663E69">
      <w:pPr>
        <w:ind w:right="57"/>
        <w:rPr>
          <w:rFonts w:asciiTheme="minorHAnsi" w:hAnsiTheme="minorHAnsi" w:cstheme="minorHAnsi"/>
          <w:u w:val="single"/>
        </w:rPr>
      </w:pPr>
      <w:r w:rsidRPr="00A33D21">
        <w:rPr>
          <w:rFonts w:asciiTheme="minorHAnsi" w:hAnsiTheme="minorHAnsi" w:cstheme="minorHAnsi"/>
          <w:u w:val="single"/>
        </w:rPr>
        <w:t>CIPFA Self-Assessment of Good Practice</w:t>
      </w:r>
    </w:p>
    <w:p w:rsidR="00490B12" w:rsidRPr="00490B12" w:rsidRDefault="00490B12" w:rsidP="00490B12">
      <w:pPr>
        <w:spacing w:line="259" w:lineRule="auto"/>
        <w:ind w:left="0" w:firstLine="0"/>
        <w:rPr>
          <w:rFonts w:asciiTheme="minorHAnsi" w:hAnsiTheme="minorHAnsi" w:cstheme="minorHAnsi"/>
        </w:rPr>
      </w:pPr>
      <w:r w:rsidRPr="00490B12">
        <w:rPr>
          <w:rFonts w:asciiTheme="minorHAnsi" w:hAnsiTheme="minorHAnsi" w:cstheme="minorHAnsi"/>
        </w:rPr>
        <w:t xml:space="preserve"> </w:t>
      </w:r>
    </w:p>
    <w:tbl>
      <w:tblPr>
        <w:tblStyle w:val="TableGrid"/>
        <w:tblW w:w="9110" w:type="dxa"/>
        <w:tblInd w:w="5" w:type="dxa"/>
        <w:tblCellMar>
          <w:top w:w="8" w:type="dxa"/>
          <w:left w:w="108" w:type="dxa"/>
          <w:right w:w="5" w:type="dxa"/>
        </w:tblCellMar>
        <w:tblLook w:val="04A0" w:firstRow="1" w:lastRow="0" w:firstColumn="1" w:lastColumn="0" w:noHBand="0" w:noVBand="1"/>
      </w:tblPr>
      <w:tblGrid>
        <w:gridCol w:w="1241"/>
        <w:gridCol w:w="5109"/>
        <w:gridCol w:w="959"/>
        <w:gridCol w:w="901"/>
        <w:gridCol w:w="900"/>
      </w:tblGrid>
      <w:tr w:rsidR="00490B12" w:rsidRPr="00490B12" w:rsidTr="00904467">
        <w:trPr>
          <w:trHeight w:val="288"/>
        </w:trPr>
        <w:tc>
          <w:tcPr>
            <w:tcW w:w="6350" w:type="dxa"/>
            <w:gridSpan w:val="2"/>
            <w:tcBorders>
              <w:top w:val="single" w:sz="4" w:space="0" w:color="000000"/>
              <w:left w:val="single" w:sz="4"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eastAsia="Arial" w:cstheme="minorHAnsi"/>
                <w:b/>
              </w:rPr>
              <w:t xml:space="preserve">Good practice questions  </w:t>
            </w:r>
          </w:p>
        </w:tc>
        <w:tc>
          <w:tcPr>
            <w:tcW w:w="959" w:type="dxa"/>
            <w:tcBorders>
              <w:top w:val="single" w:sz="4"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4" w:firstLine="0"/>
              <w:jc w:val="center"/>
              <w:rPr>
                <w:rFonts w:cstheme="minorHAnsi"/>
              </w:rPr>
            </w:pPr>
            <w:r w:rsidRPr="00904467">
              <w:rPr>
                <w:rFonts w:eastAsia="Arial" w:cstheme="minorHAnsi"/>
                <w:b/>
              </w:rPr>
              <w:t xml:space="preserve">Yes </w:t>
            </w:r>
          </w:p>
        </w:tc>
        <w:tc>
          <w:tcPr>
            <w:tcW w:w="901" w:type="dxa"/>
            <w:tcBorders>
              <w:top w:val="single" w:sz="4"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7" w:firstLine="0"/>
              <w:rPr>
                <w:rFonts w:cstheme="minorHAnsi"/>
              </w:rPr>
            </w:pPr>
            <w:r w:rsidRPr="00490B12">
              <w:rPr>
                <w:rFonts w:eastAsia="Arial" w:cstheme="minorHAnsi"/>
                <w:b/>
              </w:rPr>
              <w:t xml:space="preserve">Partly </w:t>
            </w:r>
          </w:p>
        </w:tc>
        <w:tc>
          <w:tcPr>
            <w:tcW w:w="900" w:type="dxa"/>
            <w:tcBorders>
              <w:top w:val="single" w:sz="4"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0" w:right="57" w:firstLine="0"/>
              <w:jc w:val="center"/>
              <w:rPr>
                <w:rFonts w:cstheme="minorHAnsi"/>
              </w:rPr>
            </w:pPr>
            <w:r w:rsidRPr="00490B12">
              <w:rPr>
                <w:rFonts w:eastAsia="Arial" w:cstheme="minorHAnsi"/>
                <w:b/>
              </w:rPr>
              <w:t xml:space="preserve">No </w:t>
            </w:r>
          </w:p>
        </w:tc>
      </w:tr>
      <w:tr w:rsidR="00490B12" w:rsidRPr="00490B12" w:rsidTr="00904467">
        <w:trPr>
          <w:trHeight w:val="350"/>
        </w:trPr>
        <w:tc>
          <w:tcPr>
            <w:tcW w:w="6350" w:type="dxa"/>
            <w:gridSpan w:val="2"/>
            <w:tcBorders>
              <w:top w:val="single" w:sz="6" w:space="0" w:color="000000"/>
              <w:left w:val="single" w:sz="4"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eastAsia="Arial" w:cstheme="minorHAnsi"/>
                <w:b/>
              </w:rPr>
              <w:t xml:space="preserve">Audit committee purpose and governance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13" w:firstLine="0"/>
              <w:jc w:val="center"/>
              <w:rPr>
                <w:rFonts w:cstheme="minorHAnsi"/>
              </w:rPr>
            </w:pPr>
            <w:r w:rsidRPr="00904467">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566"/>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1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Does the authority have a dedicated audit committee?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663E69">
        <w:trPr>
          <w:trHeight w:val="663"/>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2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right="4" w:firstLine="0"/>
              <w:rPr>
                <w:rFonts w:cstheme="minorHAnsi"/>
              </w:rPr>
            </w:pPr>
            <w:r w:rsidRPr="00490B12">
              <w:rPr>
                <w:rFonts w:cstheme="minorHAnsi"/>
              </w:rPr>
              <w:t xml:space="preserve">Does the audit committee report directly to full council? (Applicable to local government only.)  </w:t>
            </w:r>
          </w:p>
        </w:tc>
        <w:tc>
          <w:tcPr>
            <w:tcW w:w="2760" w:type="dxa"/>
            <w:gridSpan w:val="3"/>
            <w:tcBorders>
              <w:top w:val="single" w:sz="6" w:space="0" w:color="000000"/>
              <w:left w:val="single" w:sz="11" w:space="0" w:color="000000"/>
              <w:bottom w:val="single" w:sz="6" w:space="0" w:color="000000"/>
              <w:right w:val="single" w:sz="4" w:space="0" w:color="000000"/>
            </w:tcBorders>
            <w:shd w:val="clear" w:color="auto" w:fill="FFC000" w:themeFill="accent4"/>
          </w:tcPr>
          <w:p w:rsidR="00490B12" w:rsidRPr="00904467" w:rsidRDefault="00490B12" w:rsidP="00002905">
            <w:pPr>
              <w:spacing w:line="259" w:lineRule="auto"/>
              <w:ind w:left="0" w:firstLine="0"/>
              <w:jc w:val="center"/>
              <w:rPr>
                <w:rFonts w:cstheme="minorHAnsi"/>
              </w:rPr>
            </w:pPr>
            <w:r w:rsidRPr="00904467">
              <w:rPr>
                <w:rFonts w:cstheme="minorHAnsi"/>
              </w:rPr>
              <w:t xml:space="preserve">Not applicable to Police audit committees </w:t>
            </w:r>
          </w:p>
        </w:tc>
      </w:tr>
      <w:tr w:rsidR="00490B12" w:rsidRPr="00490B12" w:rsidTr="00904467">
        <w:trPr>
          <w:trHeight w:val="843"/>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3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Do the terms of reference clearly set out the purpose of the committee in accordance with CIPFA’s Position Statement?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663E69">
        <w:trPr>
          <w:trHeight w:val="573"/>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4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490B12">
            <w:pPr>
              <w:spacing w:line="259" w:lineRule="auto"/>
              <w:ind w:left="0" w:firstLine="0"/>
              <w:rPr>
                <w:rFonts w:cstheme="minorHAnsi"/>
              </w:rPr>
            </w:pPr>
            <w:r w:rsidRPr="00490B12">
              <w:rPr>
                <w:rFonts w:cstheme="minorHAnsi"/>
              </w:rPr>
              <w:t xml:space="preserve">Is the role and purpose of the audit committee understood and accepted across the authority?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845"/>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5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Does the audit committee provide support to the authority in meeting the requirements of good governance?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842"/>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6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right="3" w:firstLine="0"/>
              <w:rPr>
                <w:rFonts w:cstheme="minorHAnsi"/>
              </w:rPr>
            </w:pPr>
            <w:r w:rsidRPr="00490B12">
              <w:rPr>
                <w:rFonts w:cstheme="minorHAnsi"/>
              </w:rPr>
              <w:t xml:space="preserve">Are the arrangements to hold the committee to account for its performance operating </w:t>
            </w:r>
            <w:r>
              <w:rPr>
                <w:rFonts w:cstheme="minorHAnsi"/>
              </w:rPr>
              <w:t>s</w:t>
            </w:r>
            <w:r w:rsidRPr="00490B12">
              <w:rPr>
                <w:rFonts w:cstheme="minorHAnsi"/>
              </w:rPr>
              <w:t xml:space="preserve">atisfactorily?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52"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1"/>
        </w:trPr>
        <w:tc>
          <w:tcPr>
            <w:tcW w:w="6350" w:type="dxa"/>
            <w:gridSpan w:val="2"/>
            <w:tcBorders>
              <w:top w:val="single" w:sz="6" w:space="0" w:color="000000"/>
              <w:left w:val="single" w:sz="4"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eastAsia="Arial" w:cstheme="minorHAnsi"/>
                <w:b/>
              </w:rPr>
              <w:t>Functions of the committee</w:t>
            </w:r>
            <w:r w:rsidRPr="00490B12">
              <w:rPr>
                <w:rFonts w:cstheme="minorHAnsi"/>
              </w:rPr>
              <w:t xml:space="preserv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13" w:firstLine="0"/>
              <w:jc w:val="center"/>
              <w:rPr>
                <w:rFonts w:cstheme="minorHAnsi"/>
              </w:rPr>
            </w:pPr>
            <w:r w:rsidRPr="00904467">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842"/>
        </w:trPr>
        <w:tc>
          <w:tcPr>
            <w:tcW w:w="1241" w:type="dxa"/>
            <w:vMerge w:val="restart"/>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after="547" w:line="259" w:lineRule="auto"/>
              <w:ind w:left="0" w:firstLine="0"/>
              <w:rPr>
                <w:rFonts w:cstheme="minorHAnsi"/>
              </w:rPr>
            </w:pPr>
            <w:r w:rsidRPr="00490B12">
              <w:rPr>
                <w:rFonts w:cstheme="minorHAnsi"/>
              </w:rPr>
              <w:t xml:space="preserve">7  </w:t>
            </w:r>
          </w:p>
          <w:p w:rsidR="00490B12" w:rsidRPr="00490B12" w:rsidRDefault="00490B12" w:rsidP="00002905">
            <w:pPr>
              <w:spacing w:line="259" w:lineRule="auto"/>
              <w:ind w:left="0" w:firstLine="0"/>
              <w:rPr>
                <w:rFonts w:cstheme="minorHAnsi"/>
              </w:rPr>
            </w:pPr>
            <w:r w:rsidRPr="00490B12">
              <w:rPr>
                <w:rFonts w:cstheme="minorHAnsi"/>
              </w:rPr>
              <w:t xml:space="preserve"> </w:t>
            </w:r>
          </w:p>
          <w:p w:rsidR="00490B12" w:rsidRPr="00490B12" w:rsidRDefault="00490B12" w:rsidP="00002905">
            <w:pPr>
              <w:spacing w:line="259" w:lineRule="auto"/>
              <w:ind w:left="0" w:firstLine="0"/>
              <w:rPr>
                <w:rFonts w:cstheme="minorHAnsi"/>
              </w:rPr>
            </w:pPr>
            <w:r w:rsidRPr="00490B12">
              <w:rPr>
                <w:rFonts w:cstheme="minorHAnsi"/>
              </w:rPr>
              <w:t xml:space="preserve"> </w:t>
            </w:r>
          </w:p>
          <w:p w:rsidR="00490B12" w:rsidRPr="00490B12" w:rsidRDefault="00490B12" w:rsidP="00002905">
            <w:pPr>
              <w:spacing w:line="259" w:lineRule="auto"/>
              <w:ind w:left="0" w:firstLine="0"/>
              <w:rPr>
                <w:rFonts w:cstheme="minorHAnsi"/>
              </w:rPr>
            </w:pPr>
            <w:r w:rsidRPr="00490B12">
              <w:rPr>
                <w:rFonts w:cstheme="minorHAnsi"/>
              </w:rPr>
              <w:t xml:space="preserve"> </w:t>
            </w:r>
          </w:p>
          <w:p w:rsidR="00490B12" w:rsidRPr="00490B12" w:rsidRDefault="00490B12" w:rsidP="00002905">
            <w:pPr>
              <w:spacing w:line="259" w:lineRule="auto"/>
              <w:ind w:left="0" w:firstLine="0"/>
              <w:rPr>
                <w:rFonts w:cstheme="minorHAnsi"/>
              </w:rPr>
            </w:pPr>
            <w:r w:rsidRPr="00490B12">
              <w:rPr>
                <w:rFonts w:cstheme="minorHAnsi"/>
              </w:rPr>
              <w:t xml:space="preserve"> </w:t>
            </w:r>
          </w:p>
          <w:p w:rsidR="00490B12" w:rsidRPr="00490B12" w:rsidRDefault="00490B12" w:rsidP="00002905">
            <w:pPr>
              <w:spacing w:line="259" w:lineRule="auto"/>
              <w:ind w:left="0" w:firstLine="0"/>
              <w:rPr>
                <w:rFonts w:cstheme="minorHAnsi"/>
              </w:rPr>
            </w:pPr>
            <w:r w:rsidRPr="00490B12">
              <w:rPr>
                <w:rFonts w:cstheme="minorHAnsi"/>
              </w:rPr>
              <w:t xml:space="preserve"> </w:t>
            </w:r>
          </w:p>
          <w:p w:rsidR="00490B12" w:rsidRPr="00490B12" w:rsidRDefault="00490B12" w:rsidP="00002905">
            <w:pPr>
              <w:spacing w:line="259" w:lineRule="auto"/>
              <w:ind w:left="0" w:firstLine="0"/>
              <w:rPr>
                <w:rFonts w:cstheme="minorHAnsi"/>
              </w:rPr>
            </w:pPr>
            <w:r w:rsidRPr="00490B12">
              <w:rPr>
                <w:rFonts w:cstheme="minorHAnsi"/>
              </w:rPr>
              <w:t xml:space="preserve"> </w:t>
            </w:r>
          </w:p>
          <w:p w:rsidR="00490B12" w:rsidRPr="00490B12" w:rsidRDefault="00490B12" w:rsidP="00002905">
            <w:pPr>
              <w:spacing w:line="259" w:lineRule="auto"/>
              <w:ind w:left="0" w:firstLine="0"/>
              <w:rPr>
                <w:rFonts w:cstheme="minorHAnsi"/>
              </w:rPr>
            </w:pPr>
            <w:r w:rsidRPr="00490B12">
              <w:rPr>
                <w:rFonts w:cstheme="minorHAnsi"/>
              </w:rPr>
              <w:t xml:space="preserve"> </w:t>
            </w:r>
          </w:p>
          <w:p w:rsidR="00490B12" w:rsidRPr="00490B12" w:rsidRDefault="00490B12" w:rsidP="00002905">
            <w:pPr>
              <w:spacing w:line="259" w:lineRule="auto"/>
              <w:ind w:left="0" w:firstLine="0"/>
              <w:rPr>
                <w:rFonts w:cstheme="minorHAnsi"/>
              </w:rPr>
            </w:pPr>
            <w:r w:rsidRPr="00490B12">
              <w:rPr>
                <w:rFonts w:cstheme="minorHAnsi"/>
              </w:rPr>
              <w:t xml:space="preserve">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Do the committee’s terms of reference explicitly address all the core areas identified in CIPFA’s Position Statement?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13" w:firstLine="0"/>
              <w:jc w:val="center"/>
              <w:rPr>
                <w:rFonts w:cstheme="minorHAnsi"/>
              </w:rPr>
            </w:pPr>
            <w:r w:rsidRPr="00904467">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3"/>
        </w:trPr>
        <w:tc>
          <w:tcPr>
            <w:tcW w:w="0" w:type="auto"/>
            <w:vMerge/>
            <w:tcBorders>
              <w:top w:val="nil"/>
              <w:left w:val="single" w:sz="4" w:space="0" w:color="000000"/>
              <w:bottom w:val="nil"/>
              <w:right w:val="single" w:sz="6" w:space="0" w:color="000000"/>
            </w:tcBorders>
          </w:tcPr>
          <w:p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good governance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0"/>
        </w:trPr>
        <w:tc>
          <w:tcPr>
            <w:tcW w:w="0" w:type="auto"/>
            <w:vMerge/>
            <w:tcBorders>
              <w:top w:val="nil"/>
              <w:left w:val="single" w:sz="4" w:space="0" w:color="000000"/>
              <w:bottom w:val="nil"/>
              <w:right w:val="single" w:sz="6" w:space="0" w:color="000000"/>
            </w:tcBorders>
          </w:tcPr>
          <w:p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assurance framework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0"/>
        </w:trPr>
        <w:tc>
          <w:tcPr>
            <w:tcW w:w="0" w:type="auto"/>
            <w:vMerge/>
            <w:tcBorders>
              <w:top w:val="nil"/>
              <w:left w:val="single" w:sz="4" w:space="0" w:color="000000"/>
              <w:bottom w:val="nil"/>
              <w:right w:val="single" w:sz="6" w:space="0" w:color="000000"/>
            </w:tcBorders>
          </w:tcPr>
          <w:p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internal audit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0"/>
        </w:trPr>
        <w:tc>
          <w:tcPr>
            <w:tcW w:w="0" w:type="auto"/>
            <w:vMerge/>
            <w:tcBorders>
              <w:top w:val="nil"/>
              <w:left w:val="single" w:sz="4" w:space="0" w:color="000000"/>
              <w:bottom w:val="nil"/>
              <w:right w:val="single" w:sz="6" w:space="0" w:color="000000"/>
            </w:tcBorders>
          </w:tcPr>
          <w:p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external audit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3"/>
        </w:trPr>
        <w:tc>
          <w:tcPr>
            <w:tcW w:w="0" w:type="auto"/>
            <w:vMerge/>
            <w:tcBorders>
              <w:top w:val="nil"/>
              <w:left w:val="single" w:sz="4" w:space="0" w:color="000000"/>
              <w:bottom w:val="nil"/>
              <w:right w:val="single" w:sz="6" w:space="0" w:color="000000"/>
            </w:tcBorders>
          </w:tcPr>
          <w:p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financial reporting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0"/>
        </w:trPr>
        <w:tc>
          <w:tcPr>
            <w:tcW w:w="0" w:type="auto"/>
            <w:vMerge/>
            <w:tcBorders>
              <w:top w:val="nil"/>
              <w:left w:val="single" w:sz="4" w:space="0" w:color="000000"/>
              <w:bottom w:val="nil"/>
              <w:right w:val="single" w:sz="6" w:space="0" w:color="000000"/>
            </w:tcBorders>
          </w:tcPr>
          <w:p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risk management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0"/>
        </w:trPr>
        <w:tc>
          <w:tcPr>
            <w:tcW w:w="0" w:type="auto"/>
            <w:vMerge/>
            <w:tcBorders>
              <w:top w:val="nil"/>
              <w:left w:val="single" w:sz="4" w:space="0" w:color="000000"/>
              <w:bottom w:val="nil"/>
              <w:right w:val="single" w:sz="6" w:space="0" w:color="000000"/>
            </w:tcBorders>
          </w:tcPr>
          <w:p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value for money or best value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291"/>
        </w:trPr>
        <w:tc>
          <w:tcPr>
            <w:tcW w:w="0" w:type="auto"/>
            <w:vMerge/>
            <w:tcBorders>
              <w:top w:val="nil"/>
              <w:left w:val="single" w:sz="4" w:space="0" w:color="000000"/>
              <w:bottom w:val="single" w:sz="6" w:space="0" w:color="000000"/>
              <w:right w:val="single" w:sz="6" w:space="0" w:color="000000"/>
            </w:tcBorders>
          </w:tcPr>
          <w:p w:rsidR="00490B12" w:rsidRPr="00490B12" w:rsidRDefault="00490B12" w:rsidP="00002905">
            <w:pPr>
              <w:spacing w:after="160" w:line="259" w:lineRule="auto"/>
              <w:ind w:left="0" w:firstLine="0"/>
              <w:rPr>
                <w:rFonts w:cstheme="minorHAnsi"/>
              </w:rPr>
            </w:pP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counter-fraud and corruption.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6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904467">
        <w:trPr>
          <w:trHeight w:val="1118"/>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8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Is an annual evaluation undertaken to assess whether the committee is fulfilling its terms of reference and that adequate consideration has been given to all core areas?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4E63FE" w:rsidP="00002905">
            <w:pPr>
              <w:spacing w:line="259" w:lineRule="auto"/>
              <w:ind w:left="0" w:right="66" w:firstLine="0"/>
              <w:jc w:val="center"/>
              <w:rPr>
                <w:rFonts w:cstheme="minorHAnsi"/>
              </w:rPr>
            </w:pPr>
            <w:r>
              <w:rPr>
                <w:rFonts w:cstheme="minorHAnsi"/>
              </w:rP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r w:rsidRPr="00490B12">
              <w:rPr>
                <w:rFonts w:cstheme="minorHAnsi"/>
              </w:rPr>
              <w:t xml:space="preserve"> </w:t>
            </w:r>
          </w:p>
        </w:tc>
      </w:tr>
      <w:tr w:rsidR="00490B12" w:rsidRPr="00490B12" w:rsidTr="0064642E">
        <w:trPr>
          <w:trHeight w:val="672"/>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9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right="42" w:firstLine="0"/>
              <w:rPr>
                <w:rFonts w:cstheme="minorHAnsi"/>
              </w:rPr>
            </w:pPr>
            <w:r w:rsidRPr="00490B12">
              <w:rPr>
                <w:rFonts w:cstheme="minorHAnsi"/>
              </w:rPr>
              <w:t xml:space="preserve">Has the audit committee considered the wider areas identified in CIPFA’s Position Statement and whether it would be appropriate for the committee to undertake them?  </w:t>
            </w:r>
            <w:r w:rsidR="0064642E">
              <w:rPr>
                <w:rStyle w:val="FootnoteReference"/>
                <w:rFonts w:cstheme="minorHAnsi"/>
              </w:rPr>
              <w:footnoteReference w:id="1"/>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64642E" w:rsidP="00002905">
            <w:pPr>
              <w:spacing w:line="259" w:lineRule="auto"/>
              <w:ind w:left="0" w:right="66" w:firstLine="0"/>
              <w:jc w:val="center"/>
              <w:rPr>
                <w:rFonts w:cstheme="minorHAnsi"/>
              </w:rPr>
            </w:pPr>
            <w:r>
              <w:rPr>
                <w:rFonts w:cstheme="minorHAnsi"/>
              </w:rP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p>
        </w:tc>
      </w:tr>
      <w:tr w:rsidR="00490B12" w:rsidRPr="00490B12" w:rsidTr="00663E69">
        <w:trPr>
          <w:trHeight w:val="672"/>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10  </w:t>
            </w:r>
          </w:p>
        </w:tc>
        <w:tc>
          <w:tcPr>
            <w:tcW w:w="5109" w:type="dxa"/>
            <w:tcBorders>
              <w:top w:val="single" w:sz="6" w:space="0" w:color="000000"/>
              <w:left w:val="single" w:sz="6" w:space="0" w:color="000000"/>
              <w:bottom w:val="single" w:sz="6" w:space="0" w:color="000000"/>
              <w:right w:val="single" w:sz="11"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Where coverage of core areas has been found to be limited, are plans in place to address this?  </w:t>
            </w:r>
          </w:p>
        </w:tc>
        <w:tc>
          <w:tcPr>
            <w:tcW w:w="959" w:type="dxa"/>
            <w:tcBorders>
              <w:top w:val="single" w:sz="6" w:space="0" w:color="000000"/>
              <w:left w:val="single" w:sz="11" w:space="0" w:color="000000"/>
              <w:bottom w:val="single" w:sz="6" w:space="0" w:color="000000"/>
              <w:right w:val="single" w:sz="6" w:space="0" w:color="000000"/>
            </w:tcBorders>
            <w:shd w:val="clear" w:color="auto" w:fill="70AD47" w:themeFill="accent6"/>
          </w:tcPr>
          <w:p w:rsidR="00490B12" w:rsidRPr="00904467" w:rsidRDefault="0064642E" w:rsidP="00002905">
            <w:pPr>
              <w:spacing w:line="259" w:lineRule="auto"/>
              <w:ind w:left="0" w:right="66" w:firstLine="0"/>
              <w:jc w:val="center"/>
              <w:rPr>
                <w:rFonts w:cstheme="minorHAnsi"/>
              </w:rPr>
            </w:pPr>
            <w:r>
              <w:rPr>
                <w:rFonts w:cstheme="minorHAnsi"/>
              </w:rP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8" w:firstLine="0"/>
              <w:jc w:val="center"/>
              <w:rPr>
                <w:rFonts w:cstheme="minorHAnsi"/>
              </w:rP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7" w:firstLine="0"/>
              <w:jc w:val="center"/>
              <w:rPr>
                <w:rFonts w:cstheme="minorHAnsi"/>
              </w:rPr>
            </w:pPr>
          </w:p>
        </w:tc>
      </w:tr>
      <w:tr w:rsidR="00490B12" w:rsidRPr="00490B12" w:rsidTr="00904467">
        <w:trPr>
          <w:trHeight w:val="288"/>
        </w:trPr>
        <w:tc>
          <w:tcPr>
            <w:tcW w:w="6350" w:type="dxa"/>
            <w:gridSpan w:val="2"/>
            <w:tcBorders>
              <w:top w:val="single" w:sz="4"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eastAsia="Arial" w:cstheme="minorHAnsi"/>
                <w:b/>
              </w:rPr>
              <w:t xml:space="preserve">Good practice questions  </w:t>
            </w:r>
          </w:p>
        </w:tc>
        <w:tc>
          <w:tcPr>
            <w:tcW w:w="959" w:type="dxa"/>
            <w:tcBorders>
              <w:top w:val="single" w:sz="4" w:space="0" w:color="000000"/>
              <w:left w:val="single" w:sz="6"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104" w:firstLine="0"/>
              <w:jc w:val="center"/>
              <w:rPr>
                <w:rFonts w:cstheme="minorHAnsi"/>
              </w:rPr>
            </w:pPr>
          </w:p>
        </w:tc>
        <w:tc>
          <w:tcPr>
            <w:tcW w:w="901" w:type="dxa"/>
            <w:tcBorders>
              <w:top w:val="single" w:sz="4"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7" w:firstLine="0"/>
              <w:rPr>
                <w:rFonts w:cstheme="minorHAnsi"/>
              </w:rPr>
            </w:pPr>
          </w:p>
        </w:tc>
        <w:tc>
          <w:tcPr>
            <w:tcW w:w="900" w:type="dxa"/>
            <w:tcBorders>
              <w:top w:val="single" w:sz="4"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0" w:right="102" w:firstLine="0"/>
              <w:jc w:val="center"/>
              <w:rPr>
                <w:rFonts w:cstheme="minorHAnsi"/>
              </w:rPr>
            </w:pPr>
          </w:p>
        </w:tc>
      </w:tr>
      <w:tr w:rsidR="00490B12" w:rsidRPr="00490B12" w:rsidTr="00EB6DE4">
        <w:trPr>
          <w:trHeight w:val="738"/>
        </w:trPr>
        <w:tc>
          <w:tcPr>
            <w:tcW w:w="1241" w:type="dxa"/>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cstheme="minorHAnsi"/>
              </w:rPr>
              <w:t xml:space="preserve">11  </w:t>
            </w:r>
          </w:p>
        </w:tc>
        <w:tc>
          <w:tcPr>
            <w:tcW w:w="5109" w:type="dxa"/>
            <w:tcBorders>
              <w:top w:val="single" w:sz="6" w:space="0" w:color="000000"/>
              <w:left w:val="single" w:sz="6" w:space="0" w:color="000000"/>
              <w:bottom w:val="single" w:sz="6" w:space="0" w:color="000000"/>
              <w:right w:val="single" w:sz="6" w:space="0" w:color="000000"/>
            </w:tcBorders>
          </w:tcPr>
          <w:p w:rsidR="00490B12" w:rsidRPr="00490B12" w:rsidRDefault="00490B12" w:rsidP="00002905">
            <w:pPr>
              <w:spacing w:line="259" w:lineRule="auto"/>
              <w:ind w:left="0" w:right="17" w:firstLine="0"/>
              <w:rPr>
                <w:rFonts w:cstheme="minorHAnsi"/>
              </w:rPr>
            </w:pPr>
            <w:r w:rsidRPr="00490B12">
              <w:rPr>
                <w:rFonts w:cstheme="minorHAnsi"/>
              </w:rPr>
              <w:t xml:space="preserve">Has the committee maintained its advisory role by not taking on any decision-making powers?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106" w:firstLine="0"/>
              <w:jc w:val="center"/>
              <w:rPr>
                <w:rFonts w:cstheme="minorHAnsi"/>
              </w:rPr>
            </w:pPr>
            <w:r w:rsidRPr="00904467">
              <w:rPr>
                <w:rFonts w:cstheme="minorHAnsi"/>
              </w:rPr>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0" w:right="3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0" w:right="38" w:firstLine="0"/>
              <w:jc w:val="center"/>
              <w:rPr>
                <w:rFonts w:cstheme="minorHAnsi"/>
              </w:rPr>
            </w:pPr>
            <w:r w:rsidRPr="00490B12">
              <w:rPr>
                <w:rFonts w:cstheme="minorHAnsi"/>
              </w:rPr>
              <w:t xml:space="preserve"> </w:t>
            </w:r>
          </w:p>
        </w:tc>
      </w:tr>
      <w:tr w:rsidR="00490B12" w:rsidRPr="00490B12" w:rsidTr="00904467">
        <w:trPr>
          <w:trHeight w:val="293"/>
        </w:trPr>
        <w:tc>
          <w:tcPr>
            <w:tcW w:w="6350" w:type="dxa"/>
            <w:gridSpan w:val="2"/>
            <w:tcBorders>
              <w:top w:val="single" w:sz="6" w:space="0" w:color="000000"/>
              <w:left w:val="single" w:sz="4" w:space="0" w:color="000000"/>
              <w:bottom w:val="single" w:sz="6" w:space="0" w:color="000000"/>
              <w:right w:val="single" w:sz="6" w:space="0" w:color="000000"/>
            </w:tcBorders>
          </w:tcPr>
          <w:p w:rsidR="00490B12" w:rsidRPr="00490B12" w:rsidRDefault="00490B12" w:rsidP="00002905">
            <w:pPr>
              <w:spacing w:line="259" w:lineRule="auto"/>
              <w:ind w:left="0" w:firstLine="0"/>
              <w:rPr>
                <w:rFonts w:cstheme="minorHAnsi"/>
              </w:rPr>
            </w:pPr>
            <w:r w:rsidRPr="00490B12">
              <w:rPr>
                <w:rFonts w:eastAsia="Arial" w:cstheme="minorHAnsi"/>
                <w:b/>
              </w:rPr>
              <w:t>Membership and support</w:t>
            </w:r>
            <w:r w:rsidRPr="00490B12">
              <w:rPr>
                <w:rFonts w:cstheme="minorHAnsi"/>
              </w:rPr>
              <w:t xml:space="preserve">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36" w:firstLine="0"/>
              <w:jc w:val="center"/>
              <w:rPr>
                <w:rFonts w:cstheme="minorHAnsi"/>
              </w:rPr>
            </w:pPr>
            <w:r w:rsidRPr="00904467">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490B12" w:rsidRDefault="00490B12" w:rsidP="00002905">
            <w:pPr>
              <w:spacing w:line="259" w:lineRule="auto"/>
              <w:ind w:left="0" w:right="38" w:firstLine="0"/>
              <w:jc w:val="center"/>
              <w:rPr>
                <w:rFonts w:cstheme="minorHAnsi"/>
              </w:rPr>
            </w:pPr>
            <w:r w:rsidRPr="00490B12">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490B12" w:rsidRDefault="00490B12" w:rsidP="00002905">
            <w:pPr>
              <w:spacing w:line="259" w:lineRule="auto"/>
              <w:ind w:left="0" w:right="38" w:firstLine="0"/>
              <w:jc w:val="center"/>
              <w:rPr>
                <w:rFonts w:cstheme="minorHAnsi"/>
              </w:rPr>
            </w:pPr>
            <w:r w:rsidRPr="00490B12">
              <w:rPr>
                <w:rFonts w:cstheme="minorHAnsi"/>
              </w:rPr>
              <w:t xml:space="preserve"> </w:t>
            </w:r>
          </w:p>
        </w:tc>
      </w:tr>
      <w:tr w:rsidR="00490B12" w:rsidTr="00663E69">
        <w:trPr>
          <w:trHeight w:val="3083"/>
        </w:trPr>
        <w:tc>
          <w:tcPr>
            <w:tcW w:w="1241" w:type="dxa"/>
            <w:tcBorders>
              <w:top w:val="single" w:sz="6" w:space="0" w:color="000000"/>
              <w:left w:val="single" w:sz="4" w:space="0" w:color="000000"/>
              <w:bottom w:val="single" w:sz="6" w:space="0" w:color="000000"/>
              <w:right w:val="single" w:sz="6" w:space="0" w:color="000000"/>
            </w:tcBorders>
          </w:tcPr>
          <w:p w:rsidR="00490B12" w:rsidRDefault="00490B12" w:rsidP="00002905">
            <w:pPr>
              <w:spacing w:line="259" w:lineRule="auto"/>
              <w:ind w:left="0" w:firstLine="0"/>
            </w:pPr>
            <w:r>
              <w:t xml:space="preserve">12  </w:t>
            </w:r>
          </w:p>
        </w:tc>
        <w:tc>
          <w:tcPr>
            <w:tcW w:w="5109" w:type="dxa"/>
            <w:tcBorders>
              <w:top w:val="single" w:sz="6" w:space="0" w:color="000000"/>
              <w:left w:val="single" w:sz="6" w:space="0" w:color="000000"/>
              <w:bottom w:val="single" w:sz="6" w:space="0" w:color="000000"/>
              <w:right w:val="single" w:sz="6" w:space="0" w:color="000000"/>
            </w:tcBorders>
          </w:tcPr>
          <w:p w:rsidR="00490B12" w:rsidRDefault="00490B12" w:rsidP="00002905">
            <w:pPr>
              <w:ind w:left="0" w:right="40" w:firstLine="0"/>
            </w:pPr>
            <w:r>
              <w:t xml:space="preserve">Has an effective audit committee structure and composition of the committee been selected?  </w:t>
            </w:r>
          </w:p>
          <w:p w:rsidR="00490B12" w:rsidRDefault="00490B12" w:rsidP="00002905">
            <w:pPr>
              <w:spacing w:line="259" w:lineRule="auto"/>
              <w:ind w:left="0" w:firstLine="0"/>
            </w:pPr>
            <w:r>
              <w:t xml:space="preserve">This should include:  </w:t>
            </w:r>
          </w:p>
          <w:p w:rsidR="00490B12" w:rsidRDefault="00490B12" w:rsidP="00491DB2">
            <w:pPr>
              <w:numPr>
                <w:ilvl w:val="0"/>
                <w:numId w:val="6"/>
              </w:numPr>
              <w:spacing w:line="259" w:lineRule="auto"/>
              <w:ind w:right="47" w:hanging="360"/>
            </w:pPr>
            <w:r>
              <w:t xml:space="preserve">separation from the executive  </w:t>
            </w:r>
          </w:p>
          <w:p w:rsidR="00490B12" w:rsidRDefault="00490B12" w:rsidP="00491DB2">
            <w:pPr>
              <w:numPr>
                <w:ilvl w:val="0"/>
                <w:numId w:val="6"/>
              </w:numPr>
              <w:spacing w:line="280" w:lineRule="auto"/>
              <w:ind w:right="47" w:hanging="360"/>
            </w:pPr>
            <w:r>
              <w:t xml:space="preserve">an appropriate mix of knowledge and skills among the membership  </w:t>
            </w:r>
          </w:p>
          <w:p w:rsidR="00490B12" w:rsidRDefault="00490B12" w:rsidP="00491DB2">
            <w:pPr>
              <w:numPr>
                <w:ilvl w:val="0"/>
                <w:numId w:val="6"/>
              </w:numPr>
              <w:spacing w:line="280" w:lineRule="auto"/>
              <w:ind w:right="47" w:hanging="360"/>
            </w:pPr>
            <w:r>
              <w:t xml:space="preserve">a size of committee that is not unwieldy  </w:t>
            </w:r>
          </w:p>
          <w:p w:rsidR="00490B12" w:rsidRDefault="00490B12" w:rsidP="00491DB2">
            <w:pPr>
              <w:numPr>
                <w:ilvl w:val="0"/>
                <w:numId w:val="6"/>
              </w:numPr>
              <w:spacing w:line="259" w:lineRule="auto"/>
              <w:ind w:right="47" w:hanging="360"/>
            </w:pPr>
            <w:r>
              <w:t xml:space="preserve">where independent members are used, that they have been appointed using an appropriate process.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36" w:firstLine="0"/>
              <w:jc w:val="center"/>
            </w:pPr>
            <w:r w:rsidRPr="00904467">
              <w:t xml:space="preserve"> </w:t>
            </w:r>
          </w:p>
          <w:p w:rsidR="00490B12" w:rsidRPr="00904467" w:rsidRDefault="00490B12" w:rsidP="00002905">
            <w:pPr>
              <w:spacing w:line="259" w:lineRule="auto"/>
              <w:ind w:left="0" w:right="36" w:firstLine="0"/>
              <w:jc w:val="center"/>
            </w:pPr>
            <w:r w:rsidRPr="00904467">
              <w:t xml:space="preserve"> </w:t>
            </w:r>
          </w:p>
          <w:p w:rsidR="00490B12" w:rsidRPr="00904467" w:rsidRDefault="00490B12" w:rsidP="00002905">
            <w:pPr>
              <w:spacing w:line="259" w:lineRule="auto"/>
              <w:ind w:left="0" w:right="36" w:firstLine="0"/>
              <w:jc w:val="center"/>
            </w:pPr>
            <w:r w:rsidRPr="00904467">
              <w:t xml:space="preserve"> </w:t>
            </w:r>
          </w:p>
          <w:p w:rsidR="00490B12" w:rsidRPr="00904467" w:rsidRDefault="00490B12" w:rsidP="00002905">
            <w:pPr>
              <w:spacing w:line="259" w:lineRule="auto"/>
              <w:ind w:left="0" w:right="106" w:firstLine="0"/>
              <w:jc w:val="center"/>
            </w:pPr>
            <w:r w:rsidRPr="00904467">
              <w:t xml:space="preserve">X </w:t>
            </w:r>
          </w:p>
          <w:p w:rsidR="00490B12" w:rsidRPr="00904467" w:rsidRDefault="00490B12" w:rsidP="00002905">
            <w:pPr>
              <w:spacing w:line="259" w:lineRule="auto"/>
              <w:ind w:left="0" w:right="106" w:firstLine="0"/>
              <w:jc w:val="center"/>
            </w:pPr>
            <w:r w:rsidRPr="00904467">
              <w:t xml:space="preserve">X </w:t>
            </w:r>
          </w:p>
          <w:p w:rsidR="00490B12" w:rsidRPr="00904467" w:rsidRDefault="00490B12" w:rsidP="00002905">
            <w:pPr>
              <w:spacing w:line="259" w:lineRule="auto"/>
              <w:ind w:left="0" w:right="36" w:firstLine="0"/>
              <w:jc w:val="center"/>
            </w:pPr>
            <w:r w:rsidRPr="00904467">
              <w:t xml:space="preserve"> </w:t>
            </w:r>
          </w:p>
          <w:p w:rsidR="00490B12" w:rsidRPr="00904467" w:rsidRDefault="00490B12" w:rsidP="00002905">
            <w:pPr>
              <w:spacing w:line="259" w:lineRule="auto"/>
              <w:ind w:left="0" w:right="106" w:firstLine="0"/>
              <w:jc w:val="center"/>
            </w:pPr>
            <w:r w:rsidRPr="00904467">
              <w:t xml:space="preserve">X </w:t>
            </w:r>
          </w:p>
          <w:p w:rsidR="00490B12" w:rsidRPr="00904467" w:rsidRDefault="00490B12" w:rsidP="00002905">
            <w:pPr>
              <w:spacing w:line="259" w:lineRule="auto"/>
              <w:ind w:left="0" w:right="106" w:firstLine="0"/>
              <w:jc w:val="center"/>
            </w:pPr>
            <w:r w:rsidRPr="00904467">
              <w:t xml:space="preserve">X </w:t>
            </w:r>
          </w:p>
          <w:p w:rsidR="00490B12" w:rsidRPr="00904467" w:rsidRDefault="00490B12" w:rsidP="00904467">
            <w:pPr>
              <w:spacing w:line="259" w:lineRule="auto"/>
              <w:ind w:left="0" w:right="36" w:firstLine="0"/>
              <w:jc w:val="center"/>
            </w:pP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Default="00490B12" w:rsidP="00904467">
            <w:pPr>
              <w:spacing w:line="259" w:lineRule="auto"/>
              <w:ind w:left="0" w:right="38" w:firstLine="0"/>
              <w:jc w:val="cente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Default="00490B12" w:rsidP="00002905">
            <w:pPr>
              <w:spacing w:line="259" w:lineRule="auto"/>
              <w:ind w:left="0" w:right="38" w:firstLine="0"/>
              <w:jc w:val="center"/>
            </w:pPr>
            <w:r>
              <w:t xml:space="preserve"> </w:t>
            </w:r>
          </w:p>
        </w:tc>
      </w:tr>
      <w:tr w:rsidR="00490B12" w:rsidTr="00904467">
        <w:trPr>
          <w:trHeight w:val="566"/>
        </w:trPr>
        <w:tc>
          <w:tcPr>
            <w:tcW w:w="1241" w:type="dxa"/>
            <w:tcBorders>
              <w:top w:val="single" w:sz="6" w:space="0" w:color="000000"/>
              <w:left w:val="single" w:sz="4" w:space="0" w:color="000000"/>
              <w:bottom w:val="single" w:sz="6" w:space="0" w:color="000000"/>
              <w:right w:val="single" w:sz="6" w:space="0" w:color="000000"/>
            </w:tcBorders>
          </w:tcPr>
          <w:p w:rsidR="00490B12" w:rsidRDefault="00490B12" w:rsidP="00002905">
            <w:pPr>
              <w:spacing w:line="259" w:lineRule="auto"/>
              <w:ind w:left="0" w:firstLine="0"/>
            </w:pPr>
            <w:r>
              <w:t xml:space="preserve">13  </w:t>
            </w:r>
          </w:p>
        </w:tc>
        <w:tc>
          <w:tcPr>
            <w:tcW w:w="5109" w:type="dxa"/>
            <w:tcBorders>
              <w:top w:val="single" w:sz="6" w:space="0" w:color="000000"/>
              <w:left w:val="single" w:sz="6" w:space="0" w:color="000000"/>
              <w:bottom w:val="single" w:sz="6" w:space="0" w:color="000000"/>
              <w:right w:val="single" w:sz="6" w:space="0" w:color="000000"/>
            </w:tcBorders>
          </w:tcPr>
          <w:p w:rsidR="00490B12" w:rsidRDefault="00490B12" w:rsidP="00002905">
            <w:pPr>
              <w:spacing w:line="259" w:lineRule="auto"/>
              <w:ind w:left="0" w:firstLine="0"/>
            </w:pPr>
            <w:r>
              <w:t xml:space="preserve">Does the chair of the committee have appropriate knowledge and skills?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64642E" w:rsidP="00002905">
            <w:pPr>
              <w:spacing w:line="259" w:lineRule="auto"/>
              <w:ind w:left="0" w:right="106" w:firstLine="0"/>
              <w:jc w:val="center"/>
            </w:pPr>
            <w:r>
              <w:t>X</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Default="00490B12" w:rsidP="00002905">
            <w:pPr>
              <w:spacing w:line="259" w:lineRule="auto"/>
              <w:ind w:left="0" w:right="38" w:firstLine="0"/>
              <w:jc w:val="center"/>
            </w:pP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Default="00490B12" w:rsidP="00002905">
            <w:pPr>
              <w:spacing w:line="259" w:lineRule="auto"/>
              <w:ind w:left="0" w:right="38" w:firstLine="0"/>
              <w:jc w:val="center"/>
            </w:pPr>
          </w:p>
        </w:tc>
      </w:tr>
      <w:tr w:rsidR="00490B12" w:rsidTr="00904467">
        <w:trPr>
          <w:trHeight w:val="567"/>
        </w:trPr>
        <w:tc>
          <w:tcPr>
            <w:tcW w:w="1241" w:type="dxa"/>
            <w:tcBorders>
              <w:top w:val="single" w:sz="6" w:space="0" w:color="000000"/>
              <w:left w:val="single" w:sz="4" w:space="0" w:color="000000"/>
              <w:bottom w:val="single" w:sz="6" w:space="0" w:color="000000"/>
              <w:right w:val="single" w:sz="6" w:space="0" w:color="000000"/>
            </w:tcBorders>
          </w:tcPr>
          <w:p w:rsidR="00490B12" w:rsidRDefault="00490B12" w:rsidP="00002905">
            <w:pPr>
              <w:spacing w:line="259" w:lineRule="auto"/>
              <w:ind w:left="0" w:firstLine="0"/>
            </w:pPr>
            <w:r>
              <w:t xml:space="preserve">14  </w:t>
            </w:r>
          </w:p>
        </w:tc>
        <w:tc>
          <w:tcPr>
            <w:tcW w:w="5109" w:type="dxa"/>
            <w:tcBorders>
              <w:top w:val="single" w:sz="6" w:space="0" w:color="000000"/>
              <w:left w:val="single" w:sz="6" w:space="0" w:color="000000"/>
              <w:bottom w:val="single" w:sz="6" w:space="0" w:color="000000"/>
              <w:right w:val="single" w:sz="6" w:space="0" w:color="000000"/>
            </w:tcBorders>
          </w:tcPr>
          <w:p w:rsidR="00490B12" w:rsidRDefault="00490B12" w:rsidP="00002905">
            <w:pPr>
              <w:spacing w:line="259" w:lineRule="auto"/>
              <w:ind w:left="0" w:firstLine="0"/>
            </w:pPr>
            <w:r>
              <w:t xml:space="preserve">Are arrangements in place to support the committee with briefings and training?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106" w:firstLine="0"/>
              <w:jc w:val="center"/>
            </w:pPr>
            <w:r w:rsidRPr="00904467">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Default="00490B12" w:rsidP="00002905">
            <w:pPr>
              <w:spacing w:line="259" w:lineRule="auto"/>
              <w:ind w:left="0" w:right="38" w:firstLine="0"/>
              <w:jc w:val="center"/>
            </w:pPr>
            <w: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Default="00490B12" w:rsidP="00002905">
            <w:pPr>
              <w:spacing w:line="259" w:lineRule="auto"/>
              <w:ind w:left="0" w:right="38" w:firstLine="0"/>
              <w:jc w:val="center"/>
            </w:pPr>
            <w:r>
              <w:t xml:space="preserve"> </w:t>
            </w:r>
          </w:p>
        </w:tc>
      </w:tr>
      <w:tr w:rsidR="00490B12" w:rsidTr="00904467">
        <w:trPr>
          <w:trHeight w:val="845"/>
        </w:trPr>
        <w:tc>
          <w:tcPr>
            <w:tcW w:w="1241" w:type="dxa"/>
            <w:tcBorders>
              <w:top w:val="single" w:sz="6" w:space="0" w:color="000000"/>
              <w:left w:val="single" w:sz="4" w:space="0" w:color="000000"/>
              <w:bottom w:val="single" w:sz="6" w:space="0" w:color="000000"/>
              <w:right w:val="single" w:sz="6" w:space="0" w:color="000000"/>
            </w:tcBorders>
          </w:tcPr>
          <w:p w:rsidR="00490B12" w:rsidRDefault="00490B12" w:rsidP="00002905">
            <w:pPr>
              <w:spacing w:line="259" w:lineRule="auto"/>
              <w:ind w:left="0" w:firstLine="0"/>
            </w:pPr>
            <w:r>
              <w:t xml:space="preserve">15  </w:t>
            </w:r>
          </w:p>
        </w:tc>
        <w:tc>
          <w:tcPr>
            <w:tcW w:w="5109" w:type="dxa"/>
            <w:tcBorders>
              <w:top w:val="single" w:sz="6" w:space="0" w:color="000000"/>
              <w:left w:val="single" w:sz="6" w:space="0" w:color="000000"/>
              <w:bottom w:val="single" w:sz="6" w:space="0" w:color="000000"/>
              <w:right w:val="single" w:sz="6" w:space="0" w:color="000000"/>
            </w:tcBorders>
          </w:tcPr>
          <w:p w:rsidR="00490B12" w:rsidRDefault="00490B12" w:rsidP="00002905">
            <w:pPr>
              <w:spacing w:line="259" w:lineRule="auto"/>
              <w:ind w:left="0" w:firstLine="0"/>
            </w:pPr>
            <w:r>
              <w:t xml:space="preserve">Has the membership of the committee been assessed against the core knowledge and skills framework and found to be satisfactory?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106" w:firstLine="0"/>
              <w:jc w:val="center"/>
            </w:pPr>
            <w:r w:rsidRPr="00904467">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Default="00490B12" w:rsidP="00002905">
            <w:pPr>
              <w:spacing w:line="259" w:lineRule="auto"/>
              <w:ind w:left="0" w:right="38" w:firstLine="0"/>
              <w:jc w:val="center"/>
            </w:pPr>
            <w: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Default="00490B12" w:rsidP="00002905">
            <w:pPr>
              <w:spacing w:line="259" w:lineRule="auto"/>
              <w:ind w:left="0" w:right="38" w:firstLine="0"/>
              <w:jc w:val="center"/>
            </w:pPr>
            <w:r>
              <w:t xml:space="preserve"> </w:t>
            </w:r>
          </w:p>
        </w:tc>
      </w:tr>
      <w:tr w:rsidR="00490B12" w:rsidTr="00904467">
        <w:trPr>
          <w:trHeight w:val="1118"/>
        </w:trPr>
        <w:tc>
          <w:tcPr>
            <w:tcW w:w="1241" w:type="dxa"/>
            <w:tcBorders>
              <w:top w:val="single" w:sz="6" w:space="0" w:color="000000"/>
              <w:left w:val="single" w:sz="4" w:space="0" w:color="000000"/>
              <w:bottom w:val="single" w:sz="6" w:space="0" w:color="000000"/>
              <w:right w:val="single" w:sz="6" w:space="0" w:color="000000"/>
            </w:tcBorders>
          </w:tcPr>
          <w:p w:rsidR="00490B12" w:rsidRDefault="00490B12" w:rsidP="00002905">
            <w:pPr>
              <w:spacing w:line="259" w:lineRule="auto"/>
              <w:ind w:left="0" w:firstLine="0"/>
            </w:pPr>
            <w:r>
              <w:t xml:space="preserve">16  </w:t>
            </w:r>
          </w:p>
        </w:tc>
        <w:tc>
          <w:tcPr>
            <w:tcW w:w="5109" w:type="dxa"/>
            <w:tcBorders>
              <w:top w:val="single" w:sz="6" w:space="0" w:color="000000"/>
              <w:left w:val="single" w:sz="6" w:space="0" w:color="000000"/>
              <w:bottom w:val="single" w:sz="6" w:space="0" w:color="000000"/>
              <w:right w:val="single" w:sz="6" w:space="0" w:color="000000"/>
            </w:tcBorders>
          </w:tcPr>
          <w:p w:rsidR="00490B12" w:rsidRDefault="00490B12" w:rsidP="00002905">
            <w:pPr>
              <w:spacing w:line="259" w:lineRule="auto"/>
              <w:ind w:left="0" w:firstLine="0"/>
            </w:pPr>
            <w:r>
              <w:t xml:space="preserve">Does the committee have good working relations with key people and organisations, including external audit, internal audit and the chief financial officer?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106" w:firstLine="0"/>
              <w:jc w:val="center"/>
            </w:pPr>
            <w:r w:rsidRPr="00904467">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Default="00490B12" w:rsidP="00002905">
            <w:pPr>
              <w:spacing w:line="259" w:lineRule="auto"/>
              <w:ind w:left="0" w:right="38" w:firstLine="0"/>
              <w:jc w:val="center"/>
            </w:pPr>
            <w: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Default="00490B12" w:rsidP="00002905">
            <w:pPr>
              <w:spacing w:line="259" w:lineRule="auto"/>
              <w:ind w:left="0" w:right="38" w:firstLine="0"/>
              <w:jc w:val="center"/>
            </w:pPr>
            <w:r>
              <w:t xml:space="preserve"> </w:t>
            </w:r>
          </w:p>
        </w:tc>
      </w:tr>
      <w:tr w:rsidR="00490B12" w:rsidTr="00904467">
        <w:trPr>
          <w:trHeight w:val="566"/>
        </w:trPr>
        <w:tc>
          <w:tcPr>
            <w:tcW w:w="1241" w:type="dxa"/>
            <w:tcBorders>
              <w:top w:val="single" w:sz="6" w:space="0" w:color="000000"/>
              <w:left w:val="single" w:sz="4" w:space="0" w:color="000000"/>
              <w:bottom w:val="single" w:sz="6" w:space="0" w:color="000000"/>
              <w:right w:val="single" w:sz="6" w:space="0" w:color="000000"/>
            </w:tcBorders>
          </w:tcPr>
          <w:p w:rsidR="00490B12" w:rsidRDefault="00490B12" w:rsidP="00002905">
            <w:pPr>
              <w:spacing w:line="259" w:lineRule="auto"/>
              <w:ind w:left="0" w:firstLine="0"/>
            </w:pPr>
            <w:r>
              <w:t xml:space="preserve">17  </w:t>
            </w:r>
          </w:p>
        </w:tc>
        <w:tc>
          <w:tcPr>
            <w:tcW w:w="5109" w:type="dxa"/>
            <w:tcBorders>
              <w:top w:val="single" w:sz="6" w:space="0" w:color="000000"/>
              <w:left w:val="single" w:sz="6" w:space="0" w:color="000000"/>
              <w:bottom w:val="single" w:sz="6" w:space="0" w:color="000000"/>
              <w:right w:val="single" w:sz="6" w:space="0" w:color="000000"/>
            </w:tcBorders>
          </w:tcPr>
          <w:p w:rsidR="00490B12" w:rsidRDefault="00490B12" w:rsidP="00002905">
            <w:pPr>
              <w:spacing w:line="259" w:lineRule="auto"/>
              <w:ind w:left="0" w:firstLine="0"/>
            </w:pPr>
            <w:r>
              <w:t xml:space="preserve">Is adequate secretariat and administrative support to the committee provided?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490B12" w:rsidP="00002905">
            <w:pPr>
              <w:spacing w:line="259" w:lineRule="auto"/>
              <w:ind w:left="0" w:right="106" w:firstLine="0"/>
              <w:jc w:val="center"/>
            </w:pPr>
            <w:r w:rsidRPr="00904467">
              <w:t xml:space="preserve">X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Default="00490B12" w:rsidP="00002905">
            <w:pPr>
              <w:spacing w:line="259" w:lineRule="auto"/>
              <w:ind w:left="0" w:right="38" w:firstLine="0"/>
              <w:jc w:val="center"/>
            </w:pPr>
            <w: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Default="00490B12" w:rsidP="00002905">
            <w:pPr>
              <w:spacing w:line="259" w:lineRule="auto"/>
              <w:ind w:left="0" w:right="38" w:firstLine="0"/>
              <w:jc w:val="center"/>
            </w:pPr>
            <w:r>
              <w:t xml:space="preserve"> </w:t>
            </w:r>
          </w:p>
        </w:tc>
      </w:tr>
      <w:tr w:rsidR="00490B12" w:rsidRPr="00EB6DE4" w:rsidTr="00904467">
        <w:trPr>
          <w:trHeight w:val="290"/>
        </w:trPr>
        <w:tc>
          <w:tcPr>
            <w:tcW w:w="6350" w:type="dxa"/>
            <w:gridSpan w:val="2"/>
            <w:tcBorders>
              <w:top w:val="single" w:sz="6" w:space="0" w:color="000000"/>
              <w:left w:val="single" w:sz="4" w:space="0" w:color="000000"/>
              <w:bottom w:val="single" w:sz="6" w:space="0" w:color="000000"/>
              <w:right w:val="single" w:sz="6" w:space="0" w:color="000000"/>
            </w:tcBorders>
          </w:tcPr>
          <w:p w:rsidR="00490B12" w:rsidRPr="00EB6DE4" w:rsidRDefault="00490B12" w:rsidP="00002905">
            <w:pPr>
              <w:spacing w:line="259" w:lineRule="auto"/>
              <w:ind w:left="0" w:firstLine="0"/>
              <w:rPr>
                <w:rFonts w:cstheme="minorHAnsi"/>
              </w:rPr>
            </w:pPr>
            <w:r w:rsidRPr="00EB6DE4">
              <w:rPr>
                <w:rFonts w:eastAsia="Arial" w:cstheme="minorHAnsi"/>
                <w:b/>
              </w:rPr>
              <w:t>Effectiveness of the committee</w:t>
            </w:r>
            <w:r w:rsidRPr="00EB6DE4">
              <w:rPr>
                <w:rFonts w:cstheme="minorHAnsi"/>
              </w:rPr>
              <w:t xml:space="preserve">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EB6DE4" w:rsidRDefault="00490B12" w:rsidP="00002905">
            <w:pPr>
              <w:spacing w:line="259" w:lineRule="auto"/>
              <w:ind w:left="0" w:right="36" w:firstLine="0"/>
              <w:jc w:val="center"/>
              <w:rPr>
                <w:rFonts w:cstheme="minorHAnsi"/>
              </w:rPr>
            </w:pPr>
            <w:r w:rsidRPr="00EB6DE4">
              <w:rPr>
                <w:rFonts w:cstheme="minorHAnsi"/>
              </w:rPr>
              <w:t xml:space="preserve"> </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Pr="00EB6DE4" w:rsidRDefault="00490B12" w:rsidP="00002905">
            <w:pPr>
              <w:spacing w:line="259" w:lineRule="auto"/>
              <w:ind w:left="0" w:right="38" w:firstLine="0"/>
              <w:jc w:val="center"/>
              <w:rPr>
                <w:rFonts w:cstheme="minorHAnsi"/>
              </w:rPr>
            </w:pPr>
            <w:r w:rsidRPr="00EB6DE4">
              <w:rPr>
                <w:rFonts w:cstheme="minorHAnsi"/>
              </w:rPr>
              <w:t xml:space="preserve"> </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Pr="00EB6DE4" w:rsidRDefault="00490B12" w:rsidP="00002905">
            <w:pPr>
              <w:spacing w:line="259" w:lineRule="auto"/>
              <w:ind w:left="0" w:right="38" w:firstLine="0"/>
              <w:jc w:val="center"/>
              <w:rPr>
                <w:rFonts w:cstheme="minorHAnsi"/>
              </w:rPr>
            </w:pPr>
            <w:r w:rsidRPr="00EB6DE4">
              <w:rPr>
                <w:rFonts w:cstheme="minorHAnsi"/>
              </w:rPr>
              <w:t xml:space="preserve"> </w:t>
            </w:r>
          </w:p>
        </w:tc>
      </w:tr>
      <w:tr w:rsidR="00490B12" w:rsidTr="00904467">
        <w:trPr>
          <w:trHeight w:val="845"/>
        </w:trPr>
        <w:tc>
          <w:tcPr>
            <w:tcW w:w="1241" w:type="dxa"/>
            <w:tcBorders>
              <w:top w:val="single" w:sz="6" w:space="0" w:color="000000"/>
              <w:left w:val="single" w:sz="4" w:space="0" w:color="000000"/>
              <w:bottom w:val="single" w:sz="6" w:space="0" w:color="000000"/>
              <w:right w:val="single" w:sz="6" w:space="0" w:color="000000"/>
            </w:tcBorders>
          </w:tcPr>
          <w:p w:rsidR="00490B12" w:rsidRDefault="00490B12" w:rsidP="00002905">
            <w:pPr>
              <w:spacing w:line="259" w:lineRule="auto"/>
              <w:ind w:left="0" w:firstLine="0"/>
            </w:pPr>
            <w:r>
              <w:t xml:space="preserve">18  </w:t>
            </w:r>
          </w:p>
        </w:tc>
        <w:tc>
          <w:tcPr>
            <w:tcW w:w="5109" w:type="dxa"/>
            <w:tcBorders>
              <w:top w:val="single" w:sz="6" w:space="0" w:color="000000"/>
              <w:left w:val="single" w:sz="6" w:space="0" w:color="000000"/>
              <w:bottom w:val="single" w:sz="6" w:space="0" w:color="000000"/>
              <w:right w:val="single" w:sz="6" w:space="0" w:color="000000"/>
            </w:tcBorders>
          </w:tcPr>
          <w:p w:rsidR="00490B12" w:rsidRDefault="00490B12" w:rsidP="00002905">
            <w:pPr>
              <w:spacing w:line="259" w:lineRule="auto"/>
              <w:ind w:left="0" w:firstLine="0"/>
            </w:pPr>
            <w:r>
              <w:t xml:space="preserve">Has the committee obtained feedback on its performance from those interacting with the committee or relying on its work?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64642E" w:rsidP="00002905">
            <w:pPr>
              <w:spacing w:line="259" w:lineRule="auto"/>
              <w:ind w:left="0" w:right="106" w:firstLine="0"/>
              <w:jc w:val="center"/>
            </w:pPr>
            <w:r>
              <w:t>?</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Default="0064642E" w:rsidP="00002905">
            <w:pPr>
              <w:spacing w:line="259" w:lineRule="auto"/>
              <w:ind w:left="0" w:right="38" w:firstLine="0"/>
              <w:jc w:val="center"/>
            </w:pPr>
            <w:r>
              <w:t>?</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Default="0064642E" w:rsidP="00002905">
            <w:pPr>
              <w:spacing w:line="259" w:lineRule="auto"/>
              <w:ind w:left="0" w:right="38" w:firstLine="0"/>
              <w:jc w:val="center"/>
            </w:pPr>
            <w:r>
              <w:t>?</w:t>
            </w:r>
          </w:p>
        </w:tc>
      </w:tr>
      <w:tr w:rsidR="00490B12" w:rsidTr="00904467">
        <w:trPr>
          <w:trHeight w:val="566"/>
        </w:trPr>
        <w:tc>
          <w:tcPr>
            <w:tcW w:w="1241" w:type="dxa"/>
            <w:tcBorders>
              <w:top w:val="single" w:sz="6" w:space="0" w:color="000000"/>
              <w:left w:val="single" w:sz="4" w:space="0" w:color="000000"/>
              <w:bottom w:val="single" w:sz="6" w:space="0" w:color="000000"/>
              <w:right w:val="single" w:sz="6" w:space="0" w:color="000000"/>
            </w:tcBorders>
          </w:tcPr>
          <w:p w:rsidR="00490B12" w:rsidRDefault="00490B12" w:rsidP="00002905">
            <w:pPr>
              <w:spacing w:line="259" w:lineRule="auto"/>
              <w:ind w:left="0" w:firstLine="0"/>
            </w:pPr>
            <w:r>
              <w:t xml:space="preserve">19  </w:t>
            </w:r>
          </w:p>
        </w:tc>
        <w:tc>
          <w:tcPr>
            <w:tcW w:w="5109" w:type="dxa"/>
            <w:tcBorders>
              <w:top w:val="single" w:sz="6" w:space="0" w:color="000000"/>
              <w:left w:val="single" w:sz="6" w:space="0" w:color="000000"/>
              <w:bottom w:val="single" w:sz="6" w:space="0" w:color="000000"/>
              <w:right w:val="single" w:sz="6" w:space="0" w:color="000000"/>
            </w:tcBorders>
          </w:tcPr>
          <w:p w:rsidR="00490B12" w:rsidRDefault="00490B12" w:rsidP="00002905">
            <w:pPr>
              <w:spacing w:line="259" w:lineRule="auto"/>
              <w:ind w:left="0" w:firstLine="0"/>
              <w:jc w:val="both"/>
            </w:pPr>
            <w:r>
              <w:t xml:space="preserve">Has the committee evaluated whether and how it is adding value to the organisation?  </w:t>
            </w:r>
          </w:p>
        </w:tc>
        <w:tc>
          <w:tcPr>
            <w:tcW w:w="959" w:type="dxa"/>
            <w:tcBorders>
              <w:top w:val="single" w:sz="6" w:space="0" w:color="000000"/>
              <w:left w:val="single" w:sz="6" w:space="0" w:color="000000"/>
              <w:bottom w:val="single" w:sz="6" w:space="0" w:color="000000"/>
              <w:right w:val="single" w:sz="6" w:space="0" w:color="000000"/>
            </w:tcBorders>
            <w:shd w:val="clear" w:color="auto" w:fill="70AD47" w:themeFill="accent6"/>
          </w:tcPr>
          <w:p w:rsidR="00490B12" w:rsidRPr="00904467" w:rsidRDefault="00EB6DE4" w:rsidP="00002905">
            <w:pPr>
              <w:spacing w:line="259" w:lineRule="auto"/>
              <w:ind w:left="0" w:right="106" w:firstLine="0"/>
              <w:jc w:val="center"/>
            </w:pPr>
            <w:r>
              <w:t>?</w:t>
            </w:r>
          </w:p>
        </w:tc>
        <w:tc>
          <w:tcPr>
            <w:tcW w:w="901" w:type="dxa"/>
            <w:tcBorders>
              <w:top w:val="single" w:sz="6" w:space="0" w:color="000000"/>
              <w:left w:val="single" w:sz="6" w:space="0" w:color="000000"/>
              <w:bottom w:val="single" w:sz="6" w:space="0" w:color="000000"/>
              <w:right w:val="single" w:sz="6" w:space="0" w:color="000000"/>
            </w:tcBorders>
            <w:shd w:val="clear" w:color="auto" w:fill="FFC000" w:themeFill="accent4"/>
          </w:tcPr>
          <w:p w:rsidR="00490B12" w:rsidRDefault="00EB6DE4" w:rsidP="00002905">
            <w:pPr>
              <w:spacing w:line="259" w:lineRule="auto"/>
              <w:ind w:left="0" w:right="38" w:firstLine="0"/>
              <w:jc w:val="center"/>
            </w:pPr>
            <w:r>
              <w:t>?</w:t>
            </w:r>
          </w:p>
        </w:tc>
        <w:tc>
          <w:tcPr>
            <w:tcW w:w="900" w:type="dxa"/>
            <w:tcBorders>
              <w:top w:val="single" w:sz="6" w:space="0" w:color="000000"/>
              <w:left w:val="single" w:sz="6" w:space="0" w:color="000000"/>
              <w:bottom w:val="single" w:sz="6" w:space="0" w:color="000000"/>
              <w:right w:val="single" w:sz="4" w:space="0" w:color="000000"/>
            </w:tcBorders>
            <w:shd w:val="clear" w:color="auto" w:fill="FF0000"/>
          </w:tcPr>
          <w:p w:rsidR="00490B12" w:rsidRDefault="00EB6DE4" w:rsidP="00002905">
            <w:pPr>
              <w:spacing w:line="259" w:lineRule="auto"/>
              <w:ind w:left="0" w:right="38" w:firstLine="0"/>
              <w:jc w:val="center"/>
            </w:pPr>
            <w:r>
              <w:t>?</w:t>
            </w:r>
          </w:p>
        </w:tc>
      </w:tr>
      <w:tr w:rsidR="00490B12" w:rsidTr="00904467">
        <w:trPr>
          <w:trHeight w:val="564"/>
        </w:trPr>
        <w:tc>
          <w:tcPr>
            <w:tcW w:w="1241" w:type="dxa"/>
            <w:tcBorders>
              <w:top w:val="single" w:sz="6" w:space="0" w:color="000000"/>
              <w:left w:val="single" w:sz="4" w:space="0" w:color="000000"/>
              <w:bottom w:val="single" w:sz="4" w:space="0" w:color="000000"/>
              <w:right w:val="single" w:sz="6" w:space="0" w:color="000000"/>
            </w:tcBorders>
          </w:tcPr>
          <w:p w:rsidR="00490B12" w:rsidRDefault="00490B12" w:rsidP="00002905">
            <w:pPr>
              <w:spacing w:line="259" w:lineRule="auto"/>
              <w:ind w:left="0" w:firstLine="0"/>
            </w:pPr>
            <w:r>
              <w:t xml:space="preserve">20  </w:t>
            </w:r>
          </w:p>
        </w:tc>
        <w:tc>
          <w:tcPr>
            <w:tcW w:w="5109" w:type="dxa"/>
            <w:tcBorders>
              <w:top w:val="single" w:sz="6" w:space="0" w:color="000000"/>
              <w:left w:val="single" w:sz="6" w:space="0" w:color="000000"/>
              <w:bottom w:val="single" w:sz="4" w:space="0" w:color="000000"/>
              <w:right w:val="single" w:sz="6" w:space="0" w:color="000000"/>
            </w:tcBorders>
          </w:tcPr>
          <w:p w:rsidR="00490B12" w:rsidRDefault="00490B12" w:rsidP="00002905">
            <w:pPr>
              <w:spacing w:line="259" w:lineRule="auto"/>
              <w:ind w:left="0" w:firstLine="0"/>
            </w:pPr>
            <w:r>
              <w:t xml:space="preserve">Does the committee have an action plan to improve any areas of weakness? </w:t>
            </w:r>
          </w:p>
        </w:tc>
        <w:tc>
          <w:tcPr>
            <w:tcW w:w="959" w:type="dxa"/>
            <w:tcBorders>
              <w:top w:val="single" w:sz="6" w:space="0" w:color="000000"/>
              <w:left w:val="single" w:sz="6" w:space="0" w:color="000000"/>
              <w:bottom w:val="single" w:sz="4" w:space="0" w:color="000000"/>
              <w:right w:val="single" w:sz="6" w:space="0" w:color="000000"/>
            </w:tcBorders>
            <w:shd w:val="clear" w:color="auto" w:fill="70AD47" w:themeFill="accent6"/>
          </w:tcPr>
          <w:p w:rsidR="00490B12" w:rsidRPr="00904467" w:rsidRDefault="00EB6DE4" w:rsidP="00002905">
            <w:pPr>
              <w:spacing w:line="259" w:lineRule="auto"/>
              <w:ind w:left="0" w:right="106" w:firstLine="0"/>
              <w:jc w:val="center"/>
            </w:pPr>
            <w:r>
              <w:t>?</w:t>
            </w:r>
          </w:p>
        </w:tc>
        <w:tc>
          <w:tcPr>
            <w:tcW w:w="901" w:type="dxa"/>
            <w:tcBorders>
              <w:top w:val="single" w:sz="6" w:space="0" w:color="000000"/>
              <w:left w:val="single" w:sz="6" w:space="0" w:color="000000"/>
              <w:bottom w:val="single" w:sz="4" w:space="0" w:color="000000"/>
              <w:right w:val="single" w:sz="6" w:space="0" w:color="000000"/>
            </w:tcBorders>
            <w:shd w:val="clear" w:color="auto" w:fill="FFC000" w:themeFill="accent4"/>
          </w:tcPr>
          <w:p w:rsidR="00490B12" w:rsidRDefault="00EB6DE4" w:rsidP="00002905">
            <w:pPr>
              <w:spacing w:line="259" w:lineRule="auto"/>
              <w:ind w:left="0" w:right="38" w:firstLine="0"/>
              <w:jc w:val="center"/>
            </w:pPr>
            <w:r>
              <w:t>?</w:t>
            </w:r>
          </w:p>
        </w:tc>
        <w:tc>
          <w:tcPr>
            <w:tcW w:w="900" w:type="dxa"/>
            <w:tcBorders>
              <w:top w:val="single" w:sz="6" w:space="0" w:color="000000"/>
              <w:left w:val="single" w:sz="6" w:space="0" w:color="000000"/>
              <w:bottom w:val="single" w:sz="4" w:space="0" w:color="000000"/>
              <w:right w:val="single" w:sz="4" w:space="0" w:color="000000"/>
            </w:tcBorders>
            <w:shd w:val="clear" w:color="auto" w:fill="FF0000"/>
          </w:tcPr>
          <w:p w:rsidR="00490B12" w:rsidRDefault="00EB6DE4" w:rsidP="00002905">
            <w:pPr>
              <w:spacing w:line="259" w:lineRule="auto"/>
              <w:ind w:left="0" w:right="38" w:firstLine="0"/>
              <w:jc w:val="center"/>
            </w:pPr>
            <w:r>
              <w:t>?</w:t>
            </w:r>
          </w:p>
        </w:tc>
      </w:tr>
    </w:tbl>
    <w:p w:rsidR="00002905" w:rsidRPr="0064642E" w:rsidRDefault="00002905" w:rsidP="0064642E">
      <w:pPr>
        <w:pStyle w:val="ListParagraph"/>
        <w:ind w:left="0" w:right="-766" w:firstLine="0"/>
        <w:jc w:val="both"/>
        <w:rPr>
          <w:rFonts w:ascii="Calibri" w:hAnsi="Calibri" w:cs="Calibri"/>
        </w:rPr>
      </w:pPr>
      <w:r w:rsidRPr="0064642E">
        <w:rPr>
          <w:rFonts w:asciiTheme="minorHAnsi" w:hAnsiTheme="minorHAnsi" w:cstheme="minorHAnsi"/>
        </w:rPr>
        <w:br w:type="page"/>
      </w:r>
    </w:p>
    <w:p w:rsidR="00C71217" w:rsidRPr="00C71217" w:rsidRDefault="00C71217" w:rsidP="00C71217">
      <w:pPr>
        <w:spacing w:line="259" w:lineRule="auto"/>
        <w:ind w:left="0" w:firstLine="0"/>
      </w:pPr>
    </w:p>
    <w:p w:rsidR="00663E69" w:rsidRDefault="00C71217" w:rsidP="00663E69">
      <w:pPr>
        <w:spacing w:line="259" w:lineRule="auto"/>
        <w:ind w:right="54"/>
        <w:rPr>
          <w:rFonts w:asciiTheme="minorHAnsi" w:eastAsia="Arial" w:hAnsiTheme="minorHAnsi" w:cstheme="minorHAnsi"/>
        </w:rPr>
      </w:pPr>
      <w:r w:rsidRPr="00C71217">
        <w:rPr>
          <w:rFonts w:asciiTheme="minorHAnsi" w:eastAsia="Arial" w:hAnsiTheme="minorHAnsi" w:cstheme="minorHAnsi"/>
        </w:rPr>
        <w:t>Appendix C</w:t>
      </w:r>
    </w:p>
    <w:p w:rsidR="00C71217" w:rsidRPr="00A33D21" w:rsidRDefault="00C71217" w:rsidP="00663E69">
      <w:pPr>
        <w:spacing w:line="259" w:lineRule="auto"/>
        <w:ind w:right="54"/>
        <w:rPr>
          <w:rFonts w:asciiTheme="minorHAnsi" w:hAnsiTheme="minorHAnsi" w:cstheme="minorHAnsi"/>
          <w:u w:val="single"/>
        </w:rPr>
      </w:pPr>
      <w:r w:rsidRPr="00A33D21">
        <w:rPr>
          <w:rFonts w:asciiTheme="minorHAnsi" w:hAnsiTheme="minorHAnsi" w:cstheme="minorHAnsi"/>
          <w:u w:val="single"/>
        </w:rPr>
        <w:t xml:space="preserve">Evaluating the Effectiveness of the Audit Committee </w:t>
      </w:r>
    </w:p>
    <w:p w:rsidR="00C71217" w:rsidRPr="00C71217" w:rsidRDefault="00C71217" w:rsidP="00C71217">
      <w:pPr>
        <w:spacing w:line="259" w:lineRule="auto"/>
        <w:ind w:left="0" w:firstLine="0"/>
        <w:rPr>
          <w:rFonts w:asciiTheme="minorHAnsi" w:hAnsiTheme="minorHAnsi" w:cstheme="minorHAnsi"/>
        </w:rPr>
      </w:pPr>
      <w:r w:rsidRPr="00C71217">
        <w:rPr>
          <w:rFonts w:asciiTheme="minorHAnsi" w:eastAsia="Arial" w:hAnsiTheme="minorHAnsi" w:cstheme="minorHAnsi"/>
          <w:b/>
        </w:rPr>
        <w:t xml:space="preserve"> </w:t>
      </w:r>
    </w:p>
    <w:p w:rsidR="00C71217" w:rsidRPr="00C71217" w:rsidRDefault="00C71217" w:rsidP="00C71217">
      <w:pPr>
        <w:ind w:left="0" w:right="58" w:firstLine="0"/>
        <w:jc w:val="both"/>
        <w:rPr>
          <w:rFonts w:asciiTheme="minorHAnsi" w:hAnsiTheme="minorHAnsi" w:cstheme="minorHAnsi"/>
        </w:rPr>
      </w:pPr>
      <w:r w:rsidRPr="00C71217">
        <w:rPr>
          <w:rFonts w:asciiTheme="minorHAnsi" w:hAnsiTheme="minorHAnsi" w:cstheme="minorHAnsi"/>
        </w:rPr>
        <w:t xml:space="preserve">The Committee assessed each area and agreed a score from 1 to 5.  1 means no evidence can be found that the audit committee has supported improvements in this area. 5 means clear evidence is available from </w:t>
      </w:r>
      <w:r w:rsidR="00787AFC" w:rsidRPr="00C71217">
        <w:rPr>
          <w:rFonts w:asciiTheme="minorHAnsi" w:hAnsiTheme="minorHAnsi" w:cstheme="minorHAnsi"/>
        </w:rPr>
        <w:t>several</w:t>
      </w:r>
      <w:r w:rsidRPr="00C71217">
        <w:rPr>
          <w:rFonts w:asciiTheme="minorHAnsi" w:hAnsiTheme="minorHAnsi" w:cstheme="minorHAnsi"/>
        </w:rPr>
        <w:t xml:space="preserve"> sources that the committee is actively supporting improvements across all aspects of this area.  </w:t>
      </w:r>
    </w:p>
    <w:p w:rsidR="00C71217" w:rsidRPr="00C71217" w:rsidRDefault="00C71217" w:rsidP="00C71217">
      <w:pPr>
        <w:spacing w:line="259" w:lineRule="auto"/>
        <w:ind w:left="0" w:firstLine="0"/>
        <w:jc w:val="both"/>
        <w:rPr>
          <w:rFonts w:asciiTheme="minorHAnsi" w:hAnsiTheme="minorHAnsi" w:cstheme="minorHAnsi"/>
        </w:rPr>
      </w:pPr>
      <w:r w:rsidRPr="00C71217">
        <w:rPr>
          <w:rFonts w:asciiTheme="minorHAnsi" w:hAnsiTheme="minorHAnsi" w:cstheme="minorHAnsi"/>
        </w:rPr>
        <w:t xml:space="preserve"> </w:t>
      </w:r>
    </w:p>
    <w:tbl>
      <w:tblPr>
        <w:tblStyle w:val="TableGrid"/>
        <w:tblW w:w="8495" w:type="dxa"/>
        <w:tblInd w:w="5" w:type="dxa"/>
        <w:tblCellMar>
          <w:top w:w="8" w:type="dxa"/>
          <w:left w:w="108" w:type="dxa"/>
          <w:right w:w="61" w:type="dxa"/>
        </w:tblCellMar>
        <w:tblLook w:val="04A0" w:firstRow="1" w:lastRow="0" w:firstColumn="1" w:lastColumn="0" w:noHBand="0" w:noVBand="1"/>
      </w:tblPr>
      <w:tblGrid>
        <w:gridCol w:w="4660"/>
        <w:gridCol w:w="987"/>
        <w:gridCol w:w="2848"/>
      </w:tblGrid>
      <w:tr w:rsidR="00C71217" w:rsidRPr="00C71217" w:rsidTr="00232370">
        <w:trPr>
          <w:trHeight w:val="562"/>
        </w:trPr>
        <w:tc>
          <w:tcPr>
            <w:tcW w:w="4660" w:type="dxa"/>
            <w:tcBorders>
              <w:top w:val="single" w:sz="4" w:space="0" w:color="000000"/>
              <w:left w:val="single" w:sz="4" w:space="0" w:color="000000"/>
              <w:bottom w:val="single" w:sz="4" w:space="0" w:color="000000"/>
              <w:right w:val="single" w:sz="4" w:space="0" w:color="000000"/>
            </w:tcBorders>
          </w:tcPr>
          <w:p w:rsidR="00C71217" w:rsidRPr="00C71217" w:rsidRDefault="00C71217" w:rsidP="004E63FE">
            <w:pPr>
              <w:spacing w:line="259" w:lineRule="auto"/>
              <w:ind w:left="0" w:right="51" w:firstLine="0"/>
              <w:jc w:val="center"/>
              <w:rPr>
                <w:rFonts w:cstheme="minorHAnsi"/>
              </w:rPr>
            </w:pPr>
            <w:r w:rsidRPr="00C71217">
              <w:rPr>
                <w:rFonts w:eastAsia="Arial" w:cstheme="minorHAnsi"/>
                <w:b/>
              </w:rPr>
              <w:t xml:space="preserve">Areas to Add Value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C71217" w:rsidRPr="00C71217" w:rsidRDefault="00C71217" w:rsidP="004E63FE">
            <w:pPr>
              <w:spacing w:line="259" w:lineRule="auto"/>
              <w:ind w:left="0" w:firstLine="0"/>
              <w:jc w:val="center"/>
              <w:rPr>
                <w:rFonts w:cstheme="minorHAnsi"/>
              </w:rPr>
            </w:pPr>
            <w:r w:rsidRPr="00C71217">
              <w:rPr>
                <w:rFonts w:eastAsia="Arial" w:cstheme="minorHAnsi"/>
                <w:b/>
              </w:rPr>
              <w:t xml:space="preserve">Agreed Score </w:t>
            </w:r>
          </w:p>
        </w:tc>
        <w:tc>
          <w:tcPr>
            <w:tcW w:w="2848" w:type="dxa"/>
            <w:tcBorders>
              <w:top w:val="single" w:sz="4" w:space="0" w:color="000000"/>
              <w:left w:val="single" w:sz="4" w:space="0" w:color="000000"/>
              <w:bottom w:val="single" w:sz="4" w:space="0" w:color="000000"/>
              <w:right w:val="single" w:sz="4" w:space="0" w:color="000000"/>
            </w:tcBorders>
          </w:tcPr>
          <w:p w:rsidR="00C71217" w:rsidRPr="00C71217" w:rsidRDefault="00C71217" w:rsidP="004E63FE">
            <w:pPr>
              <w:spacing w:line="259" w:lineRule="auto"/>
              <w:ind w:left="0" w:right="48" w:firstLine="0"/>
              <w:jc w:val="center"/>
              <w:rPr>
                <w:rFonts w:cstheme="minorHAnsi"/>
              </w:rPr>
            </w:pPr>
            <w:r w:rsidRPr="00C71217">
              <w:rPr>
                <w:rFonts w:eastAsia="Arial" w:cstheme="minorHAnsi"/>
                <w:b/>
              </w:rPr>
              <w:t xml:space="preserve">Areas to Develop </w:t>
            </w:r>
          </w:p>
        </w:tc>
      </w:tr>
      <w:tr w:rsidR="00C71217" w:rsidRPr="00C71217" w:rsidTr="00232370">
        <w:trPr>
          <w:trHeight w:val="980"/>
        </w:trPr>
        <w:tc>
          <w:tcPr>
            <w:tcW w:w="4660" w:type="dxa"/>
            <w:tcBorders>
              <w:top w:val="single" w:sz="4" w:space="0" w:color="000000"/>
              <w:left w:val="single" w:sz="4" w:space="0" w:color="000000"/>
              <w:bottom w:val="single" w:sz="4" w:space="0" w:color="000000"/>
              <w:right w:val="single" w:sz="4" w:space="0" w:color="000000"/>
            </w:tcBorders>
          </w:tcPr>
          <w:p w:rsidR="00C71217" w:rsidRPr="00C71217" w:rsidRDefault="00C71217" w:rsidP="00663E69">
            <w:pPr>
              <w:ind w:left="0" w:right="1" w:firstLine="0"/>
              <w:rPr>
                <w:rFonts w:cstheme="minorHAnsi"/>
              </w:rPr>
            </w:pPr>
            <w:r w:rsidRPr="00C71217">
              <w:rPr>
                <w:rFonts w:cstheme="minorHAnsi"/>
              </w:rPr>
              <w:t>Promoting the principles of good governance and their application to decision making.</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C71217" w:rsidRPr="00C71217" w:rsidRDefault="0064642E" w:rsidP="004E63FE">
            <w:pPr>
              <w:spacing w:line="259" w:lineRule="auto"/>
              <w:ind w:left="0" w:right="48" w:firstLine="0"/>
              <w:jc w:val="center"/>
              <w:rPr>
                <w:rFonts w:cstheme="minorHAnsi"/>
              </w:rPr>
            </w:pPr>
            <w:r>
              <w:rPr>
                <w:rFonts w:cstheme="minorHAnsi"/>
              </w:rPr>
              <w:t>5</w:t>
            </w:r>
          </w:p>
        </w:tc>
        <w:tc>
          <w:tcPr>
            <w:tcW w:w="2848" w:type="dxa"/>
            <w:tcBorders>
              <w:top w:val="single" w:sz="4" w:space="0" w:color="000000"/>
              <w:left w:val="single" w:sz="4" w:space="0" w:color="000000"/>
              <w:bottom w:val="single" w:sz="4" w:space="0" w:color="000000"/>
              <w:right w:val="single" w:sz="4" w:space="0" w:color="000000"/>
            </w:tcBorders>
          </w:tcPr>
          <w:p w:rsidR="00C71217" w:rsidRPr="00C71217" w:rsidRDefault="00C71217" w:rsidP="004E63FE">
            <w:pPr>
              <w:spacing w:line="259" w:lineRule="auto"/>
              <w:ind w:left="0" w:firstLine="0"/>
              <w:rPr>
                <w:rFonts w:cstheme="minorHAnsi"/>
              </w:rPr>
            </w:pPr>
          </w:p>
        </w:tc>
      </w:tr>
      <w:tr w:rsidR="00C71217" w:rsidRPr="00C71217" w:rsidTr="00232370">
        <w:trPr>
          <w:trHeight w:val="1387"/>
        </w:trPr>
        <w:tc>
          <w:tcPr>
            <w:tcW w:w="4660" w:type="dxa"/>
            <w:tcBorders>
              <w:top w:val="single" w:sz="4" w:space="0" w:color="000000"/>
              <w:left w:val="single" w:sz="4" w:space="0" w:color="000000"/>
              <w:bottom w:val="single" w:sz="4" w:space="0" w:color="000000"/>
              <w:right w:val="single" w:sz="4" w:space="0" w:color="000000"/>
            </w:tcBorders>
          </w:tcPr>
          <w:p w:rsidR="00C71217" w:rsidRPr="00C71217" w:rsidRDefault="00C71217" w:rsidP="004E63FE">
            <w:pPr>
              <w:ind w:left="0" w:firstLine="0"/>
              <w:rPr>
                <w:rFonts w:cstheme="minorHAnsi"/>
              </w:rPr>
            </w:pPr>
            <w:r w:rsidRPr="00C71217">
              <w:rPr>
                <w:rFonts w:cstheme="minorHAnsi"/>
              </w:rPr>
              <w:t xml:space="preserve">Contributing to the development of an effective control environment.  </w:t>
            </w:r>
          </w:p>
          <w:p w:rsidR="00C71217" w:rsidRPr="00C71217" w:rsidRDefault="00C71217" w:rsidP="004E63FE">
            <w:pPr>
              <w:spacing w:line="259" w:lineRule="auto"/>
              <w:ind w:left="0" w:firstLine="0"/>
              <w:rPr>
                <w:rFonts w:cstheme="minorHAnsi"/>
              </w:rPr>
            </w:pPr>
            <w:r w:rsidRPr="00C71217">
              <w:rPr>
                <w:rFonts w:cstheme="minorHAnsi"/>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C71217" w:rsidRPr="00C71217" w:rsidRDefault="00391B9D" w:rsidP="004E63FE">
            <w:pPr>
              <w:spacing w:line="259" w:lineRule="auto"/>
              <w:ind w:left="0" w:right="48" w:firstLine="0"/>
              <w:jc w:val="center"/>
              <w:rPr>
                <w:rFonts w:cstheme="minorHAnsi"/>
              </w:rPr>
            </w:pPr>
            <w:r>
              <w:rPr>
                <w:rFonts w:cstheme="minorHAnsi"/>
              </w:rPr>
              <w:t>4</w:t>
            </w:r>
          </w:p>
        </w:tc>
        <w:tc>
          <w:tcPr>
            <w:tcW w:w="2848" w:type="dxa"/>
            <w:tcBorders>
              <w:top w:val="single" w:sz="4" w:space="0" w:color="000000"/>
              <w:left w:val="single" w:sz="4" w:space="0" w:color="000000"/>
              <w:bottom w:val="single" w:sz="4" w:space="0" w:color="000000"/>
              <w:right w:val="single" w:sz="4" w:space="0" w:color="000000"/>
            </w:tcBorders>
          </w:tcPr>
          <w:p w:rsidR="00C71217" w:rsidRPr="00C71217" w:rsidRDefault="00C71217" w:rsidP="00C71217">
            <w:pPr>
              <w:ind w:left="0" w:right="45" w:firstLine="0"/>
              <w:rPr>
                <w:rFonts w:cstheme="minorHAnsi"/>
              </w:rPr>
            </w:pPr>
            <w:r w:rsidRPr="00C71217">
              <w:rPr>
                <w:rFonts w:cstheme="minorHAnsi"/>
              </w:rPr>
              <w:t xml:space="preserve">The Committee will consider the need for further assurance once the Corporate Governance Framework has been implemented. </w:t>
            </w:r>
          </w:p>
        </w:tc>
      </w:tr>
      <w:tr w:rsidR="00FA748F" w:rsidRPr="00C71217" w:rsidTr="00232370">
        <w:trPr>
          <w:trHeight w:val="1552"/>
        </w:trPr>
        <w:tc>
          <w:tcPr>
            <w:tcW w:w="4660" w:type="dxa"/>
            <w:tcBorders>
              <w:top w:val="single" w:sz="4" w:space="0" w:color="000000"/>
              <w:left w:val="single" w:sz="4" w:space="0" w:color="000000"/>
              <w:bottom w:val="single" w:sz="4" w:space="0" w:color="000000"/>
              <w:right w:val="single" w:sz="4" w:space="0" w:color="000000"/>
            </w:tcBorders>
          </w:tcPr>
          <w:p w:rsidR="00FA748F" w:rsidRPr="00C71217" w:rsidRDefault="00FA748F" w:rsidP="00663E69">
            <w:pPr>
              <w:ind w:left="0" w:firstLine="0"/>
              <w:rPr>
                <w:rFonts w:cstheme="minorHAnsi"/>
              </w:rPr>
            </w:pPr>
            <w:r w:rsidRPr="00C71217">
              <w:rPr>
                <w:rFonts w:cstheme="minorHAnsi"/>
              </w:rPr>
              <w:t xml:space="preserve">Supporting the establishment of arrangements for the governance of risk and for effective arrangements to manage risks.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FA748F" w:rsidRPr="00C71217" w:rsidRDefault="00391B9D" w:rsidP="00FA748F">
            <w:pPr>
              <w:spacing w:line="259" w:lineRule="auto"/>
              <w:ind w:left="20" w:firstLine="0"/>
              <w:jc w:val="center"/>
              <w:rPr>
                <w:rFonts w:cstheme="minorHAnsi"/>
              </w:rPr>
            </w:pPr>
            <w:r>
              <w:rPr>
                <w:rFonts w:cstheme="minorHAnsi"/>
              </w:rPr>
              <w:t>4</w:t>
            </w:r>
          </w:p>
        </w:tc>
        <w:tc>
          <w:tcPr>
            <w:tcW w:w="2848"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line="259" w:lineRule="auto"/>
              <w:ind w:left="0" w:firstLine="0"/>
              <w:rPr>
                <w:rFonts w:cstheme="minorHAnsi"/>
              </w:rPr>
            </w:pPr>
            <w:r w:rsidRPr="00C71217">
              <w:rPr>
                <w:rFonts w:cstheme="minorHAnsi"/>
              </w:rPr>
              <w:t xml:space="preserve">The Committee will consider the need for further assurance once the </w:t>
            </w:r>
            <w:r>
              <w:rPr>
                <w:rFonts w:cstheme="minorHAnsi"/>
              </w:rPr>
              <w:t xml:space="preserve">Corporate Risk Register </w:t>
            </w:r>
            <w:r w:rsidRPr="00C71217">
              <w:rPr>
                <w:rFonts w:cstheme="minorHAnsi"/>
              </w:rPr>
              <w:t xml:space="preserve">has been </w:t>
            </w:r>
            <w:r w:rsidR="001A5A9E">
              <w:rPr>
                <w:rFonts w:cstheme="minorHAnsi"/>
              </w:rPr>
              <w:t>further developed</w:t>
            </w:r>
            <w:r w:rsidRPr="00C71217">
              <w:rPr>
                <w:rFonts w:cstheme="minorHAnsi"/>
              </w:rPr>
              <w:t xml:space="preserve">. </w:t>
            </w:r>
          </w:p>
        </w:tc>
      </w:tr>
      <w:tr w:rsidR="00FA748F" w:rsidRPr="00C71217" w:rsidTr="00232370">
        <w:trPr>
          <w:trHeight w:val="1547"/>
        </w:trPr>
        <w:tc>
          <w:tcPr>
            <w:tcW w:w="4660" w:type="dxa"/>
            <w:tcBorders>
              <w:top w:val="single" w:sz="4" w:space="0" w:color="000000"/>
              <w:left w:val="single" w:sz="4" w:space="0" w:color="000000"/>
              <w:bottom w:val="single" w:sz="4" w:space="0" w:color="000000"/>
              <w:right w:val="single" w:sz="4" w:space="0" w:color="000000"/>
            </w:tcBorders>
          </w:tcPr>
          <w:p w:rsidR="00FA748F" w:rsidRPr="00C71217" w:rsidRDefault="00FA748F" w:rsidP="00663E69">
            <w:pPr>
              <w:ind w:left="0" w:firstLine="0"/>
              <w:rPr>
                <w:rFonts w:cstheme="minorHAnsi"/>
              </w:rPr>
            </w:pPr>
            <w:r w:rsidRPr="00C71217">
              <w:rPr>
                <w:rFonts w:cstheme="minorHAnsi"/>
              </w:rPr>
              <w:t xml:space="preserve">Advising on the adequacy of the assurance framework and considering whether assurance is deployed efficiently and effectively.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FA748F" w:rsidRPr="00C71217" w:rsidRDefault="00391B9D" w:rsidP="00FA748F">
            <w:pPr>
              <w:spacing w:line="259" w:lineRule="auto"/>
              <w:ind w:left="0" w:right="48" w:firstLine="0"/>
              <w:jc w:val="center"/>
              <w:rPr>
                <w:rFonts w:cstheme="minorHAnsi"/>
              </w:rPr>
            </w:pPr>
            <w:r>
              <w:rPr>
                <w:rFonts w:cstheme="minorHAnsi"/>
              </w:rPr>
              <w:t>4</w:t>
            </w:r>
          </w:p>
        </w:tc>
        <w:tc>
          <w:tcPr>
            <w:tcW w:w="2848"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line="259" w:lineRule="auto"/>
              <w:ind w:left="0" w:firstLine="0"/>
              <w:rPr>
                <w:rFonts w:cstheme="minorHAnsi"/>
              </w:rPr>
            </w:pPr>
          </w:p>
        </w:tc>
      </w:tr>
      <w:tr w:rsidR="00FA748F" w:rsidRPr="00C71217" w:rsidTr="00232370">
        <w:trPr>
          <w:trHeight w:val="1345"/>
        </w:trPr>
        <w:tc>
          <w:tcPr>
            <w:tcW w:w="4660"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ind w:left="0" w:right="31" w:firstLine="0"/>
              <w:rPr>
                <w:rFonts w:cstheme="minorHAnsi"/>
              </w:rPr>
            </w:pPr>
            <w:r w:rsidRPr="00C71217">
              <w:rPr>
                <w:rFonts w:cstheme="minorHAnsi"/>
              </w:rPr>
              <w:t xml:space="preserve">Supporting the quality of the internal </w:t>
            </w:r>
            <w:r w:rsidR="007F4D92">
              <w:rPr>
                <w:rFonts w:cstheme="minorHAnsi"/>
              </w:rPr>
              <w:t xml:space="preserve">and external </w:t>
            </w:r>
            <w:r w:rsidRPr="00C71217">
              <w:rPr>
                <w:rFonts w:cstheme="minorHAnsi"/>
              </w:rPr>
              <w:t xml:space="preserve">audit activity, particularly by underpinning its organisational independence.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FA748F" w:rsidRPr="00C71217" w:rsidRDefault="00391B9D" w:rsidP="00FA748F">
            <w:pPr>
              <w:spacing w:line="259" w:lineRule="auto"/>
              <w:ind w:left="0" w:right="48" w:firstLine="0"/>
              <w:jc w:val="center"/>
              <w:rPr>
                <w:rFonts w:cstheme="minorHAnsi"/>
              </w:rPr>
            </w:pPr>
            <w:r>
              <w:rPr>
                <w:rFonts w:cstheme="minorHAnsi"/>
              </w:rPr>
              <w:t>5</w:t>
            </w:r>
          </w:p>
        </w:tc>
        <w:tc>
          <w:tcPr>
            <w:tcW w:w="2848"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line="259" w:lineRule="auto"/>
              <w:ind w:left="0" w:firstLine="0"/>
              <w:rPr>
                <w:rFonts w:cstheme="minorHAnsi"/>
              </w:rPr>
            </w:pPr>
          </w:p>
        </w:tc>
      </w:tr>
      <w:tr w:rsidR="00FA748F" w:rsidRPr="00C71217" w:rsidTr="00232370">
        <w:trPr>
          <w:trHeight w:val="1942"/>
        </w:trPr>
        <w:tc>
          <w:tcPr>
            <w:tcW w:w="4660"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ind w:left="0" w:firstLine="0"/>
              <w:rPr>
                <w:rFonts w:cstheme="minorHAnsi"/>
              </w:rPr>
            </w:pPr>
            <w:r w:rsidRPr="00C71217">
              <w:rPr>
                <w:rFonts w:cstheme="minorHAnsi"/>
              </w:rPr>
              <w:t xml:space="preserve">Aiding the achievement of the authority’s goals and objectives through helping to ensure appropriate governance, risk, control and assurance arrangements.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FA748F" w:rsidRPr="00C71217" w:rsidRDefault="00391B9D" w:rsidP="00FA748F">
            <w:pPr>
              <w:spacing w:line="259" w:lineRule="auto"/>
              <w:ind w:left="0" w:right="48" w:firstLine="0"/>
              <w:jc w:val="center"/>
              <w:rPr>
                <w:rFonts w:cstheme="minorHAnsi"/>
              </w:rPr>
            </w:pPr>
            <w:r>
              <w:rPr>
                <w:rFonts w:cstheme="minorHAnsi"/>
              </w:rPr>
              <w:t>4</w:t>
            </w:r>
            <w:r w:rsidR="00FA748F" w:rsidRPr="00C71217">
              <w:rPr>
                <w:rFonts w:cstheme="minorHAnsi"/>
              </w:rPr>
              <w:t xml:space="preserve"> </w:t>
            </w:r>
          </w:p>
        </w:tc>
        <w:tc>
          <w:tcPr>
            <w:tcW w:w="2848"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line="259" w:lineRule="auto"/>
              <w:ind w:left="0" w:firstLine="0"/>
              <w:rPr>
                <w:rFonts w:cstheme="minorHAnsi"/>
              </w:rPr>
            </w:pPr>
          </w:p>
        </w:tc>
      </w:tr>
      <w:tr w:rsidR="00FA748F" w:rsidRPr="00C71217" w:rsidTr="00232370">
        <w:trPr>
          <w:trHeight w:val="1114"/>
        </w:trPr>
        <w:tc>
          <w:tcPr>
            <w:tcW w:w="4660"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line="259" w:lineRule="auto"/>
              <w:ind w:left="0" w:right="1" w:firstLine="0"/>
              <w:rPr>
                <w:rFonts w:cstheme="minorHAnsi"/>
              </w:rPr>
            </w:pPr>
            <w:r w:rsidRPr="00C71217">
              <w:rPr>
                <w:rFonts w:cstheme="minorHAnsi"/>
              </w:rPr>
              <w:t xml:space="preserve">Supporting the development of robust arrangements for ensuring value for money.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FA748F" w:rsidRPr="00C71217" w:rsidRDefault="00391B9D" w:rsidP="00FA748F">
            <w:pPr>
              <w:spacing w:line="259" w:lineRule="auto"/>
              <w:ind w:left="0" w:right="48" w:firstLine="0"/>
              <w:jc w:val="center"/>
              <w:rPr>
                <w:rFonts w:cstheme="minorHAnsi"/>
              </w:rPr>
            </w:pPr>
            <w:r>
              <w:rPr>
                <w:rFonts w:cstheme="minorHAnsi"/>
              </w:rPr>
              <w:t>3</w:t>
            </w:r>
          </w:p>
        </w:tc>
        <w:tc>
          <w:tcPr>
            <w:tcW w:w="2848"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line="259" w:lineRule="auto"/>
              <w:ind w:left="0" w:firstLine="0"/>
              <w:rPr>
                <w:rFonts w:cstheme="minorHAnsi"/>
              </w:rPr>
            </w:pPr>
          </w:p>
        </w:tc>
      </w:tr>
      <w:tr w:rsidR="00FA748F" w:rsidRPr="00C71217" w:rsidTr="00232370">
        <w:trPr>
          <w:trHeight w:val="1672"/>
        </w:trPr>
        <w:tc>
          <w:tcPr>
            <w:tcW w:w="4660"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after="1"/>
              <w:ind w:left="0" w:firstLine="0"/>
              <w:rPr>
                <w:rFonts w:cstheme="minorHAnsi"/>
              </w:rPr>
            </w:pPr>
            <w:r w:rsidRPr="00C71217">
              <w:rPr>
                <w:rFonts w:cstheme="minorHAnsi"/>
              </w:rPr>
              <w:t xml:space="preserve">Helping the authority to implement the values of good governance, including effective arrangements for countering fraud and corruption risks.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FA748F" w:rsidRPr="00C71217" w:rsidRDefault="00391B9D" w:rsidP="00FA748F">
            <w:pPr>
              <w:spacing w:line="259" w:lineRule="auto"/>
              <w:ind w:left="0" w:right="48" w:firstLine="0"/>
              <w:jc w:val="center"/>
              <w:rPr>
                <w:rFonts w:cstheme="minorHAnsi"/>
              </w:rPr>
            </w:pPr>
            <w:r>
              <w:rPr>
                <w:rFonts w:cstheme="minorHAnsi"/>
              </w:rPr>
              <w:t>3</w:t>
            </w:r>
          </w:p>
        </w:tc>
        <w:tc>
          <w:tcPr>
            <w:tcW w:w="2848"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line="259" w:lineRule="auto"/>
              <w:ind w:left="0" w:firstLine="0"/>
              <w:rPr>
                <w:rFonts w:cstheme="minorHAnsi"/>
              </w:rPr>
            </w:pPr>
          </w:p>
        </w:tc>
      </w:tr>
      <w:tr w:rsidR="00FA748F" w:rsidRPr="00C71217" w:rsidTr="00232370">
        <w:trPr>
          <w:trHeight w:val="1944"/>
        </w:trPr>
        <w:tc>
          <w:tcPr>
            <w:tcW w:w="4660"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ind w:left="0" w:firstLine="0"/>
              <w:rPr>
                <w:rFonts w:cstheme="minorHAnsi"/>
              </w:rPr>
            </w:pPr>
            <w:r w:rsidRPr="00C71217">
              <w:rPr>
                <w:rFonts w:cstheme="minorHAnsi"/>
              </w:rPr>
              <w:t xml:space="preserve">Promoting effective public reporting to the authority’s stakeholders and local community and measures to improve transparency and accountability.  </w:t>
            </w:r>
          </w:p>
          <w:p w:rsidR="00FA748F" w:rsidRPr="00C71217" w:rsidRDefault="00FA748F" w:rsidP="00FA748F">
            <w:pPr>
              <w:spacing w:line="259" w:lineRule="auto"/>
              <w:ind w:left="0" w:firstLine="0"/>
              <w:rPr>
                <w:rFonts w:cstheme="minorHAnsi"/>
              </w:rPr>
            </w:pPr>
            <w:r w:rsidRPr="00C71217">
              <w:rPr>
                <w:rFonts w:cstheme="minorHAnsi"/>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FA748F" w:rsidRPr="00C71217" w:rsidRDefault="00391B9D" w:rsidP="00FA748F">
            <w:pPr>
              <w:spacing w:line="259" w:lineRule="auto"/>
              <w:ind w:left="0" w:right="48" w:firstLine="0"/>
              <w:jc w:val="center"/>
              <w:rPr>
                <w:rFonts w:cstheme="minorHAnsi"/>
              </w:rPr>
            </w:pPr>
            <w:r>
              <w:rPr>
                <w:rFonts w:cstheme="minorHAnsi"/>
              </w:rPr>
              <w:t>5</w:t>
            </w:r>
            <w:r w:rsidR="00FA748F" w:rsidRPr="00C71217">
              <w:rPr>
                <w:rFonts w:cstheme="minorHAnsi"/>
              </w:rPr>
              <w:t xml:space="preserve"> </w:t>
            </w:r>
          </w:p>
        </w:tc>
        <w:tc>
          <w:tcPr>
            <w:tcW w:w="2848" w:type="dxa"/>
            <w:tcBorders>
              <w:top w:val="single" w:sz="4" w:space="0" w:color="000000"/>
              <w:left w:val="single" w:sz="4" w:space="0" w:color="000000"/>
              <w:bottom w:val="single" w:sz="4" w:space="0" w:color="000000"/>
              <w:right w:val="single" w:sz="4" w:space="0" w:color="000000"/>
            </w:tcBorders>
          </w:tcPr>
          <w:p w:rsidR="00FA748F" w:rsidRPr="00C71217" w:rsidRDefault="00FA748F" w:rsidP="00FA748F">
            <w:pPr>
              <w:spacing w:line="259" w:lineRule="auto"/>
              <w:ind w:left="0" w:firstLine="0"/>
              <w:rPr>
                <w:rFonts w:cstheme="minorHAnsi"/>
              </w:rPr>
            </w:pPr>
            <w:r w:rsidRPr="00C71217">
              <w:rPr>
                <w:rFonts w:cstheme="minorHAnsi"/>
              </w:rPr>
              <w:t xml:space="preserve"> </w:t>
            </w:r>
          </w:p>
        </w:tc>
      </w:tr>
      <w:tr w:rsidR="00932C79" w:rsidRPr="00C71217" w:rsidTr="00A33D21">
        <w:trPr>
          <w:trHeight w:val="1425"/>
        </w:trPr>
        <w:tc>
          <w:tcPr>
            <w:tcW w:w="4660" w:type="dxa"/>
            <w:tcBorders>
              <w:top w:val="single" w:sz="4" w:space="0" w:color="000000"/>
              <w:left w:val="single" w:sz="4" w:space="0" w:color="000000"/>
              <w:bottom w:val="single" w:sz="4" w:space="0" w:color="000000"/>
              <w:right w:val="single" w:sz="4" w:space="0" w:color="000000"/>
            </w:tcBorders>
          </w:tcPr>
          <w:p w:rsidR="00932C79" w:rsidRPr="00C71217" w:rsidRDefault="00232370" w:rsidP="00FA748F">
            <w:pPr>
              <w:ind w:left="0" w:firstLine="0"/>
              <w:rPr>
                <w:rFonts w:cstheme="minorHAnsi"/>
              </w:rPr>
            </w:pPr>
            <w:r>
              <w:rPr>
                <w:rFonts w:cstheme="minorHAnsi"/>
              </w:rPr>
              <w:t xml:space="preserve">Awareness of and compliance with the </w:t>
            </w:r>
            <w:r w:rsidR="00932C79">
              <w:rPr>
                <w:rFonts w:cstheme="minorHAnsi"/>
              </w:rPr>
              <w:t>CIPFA</w:t>
            </w:r>
            <w:r>
              <w:rPr>
                <w:rFonts w:cstheme="minorHAnsi"/>
              </w:rPr>
              <w:t xml:space="preserve"> self-assessment of Good Practice</w:t>
            </w:r>
            <w:r w:rsidR="00932C79">
              <w:rPr>
                <w:rFonts w:cstheme="minorHAnsi"/>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FFC000" w:themeFill="accent4"/>
          </w:tcPr>
          <w:p w:rsidR="00932C79" w:rsidRDefault="00232370" w:rsidP="00FA748F">
            <w:pPr>
              <w:spacing w:line="259" w:lineRule="auto"/>
              <w:ind w:left="0" w:right="48" w:firstLine="0"/>
              <w:jc w:val="center"/>
              <w:rPr>
                <w:rFonts w:cstheme="minorHAnsi"/>
              </w:rPr>
            </w:pPr>
            <w:r>
              <w:rPr>
                <w:rFonts w:cstheme="minorHAnsi"/>
              </w:rPr>
              <w:t>4</w:t>
            </w:r>
          </w:p>
        </w:tc>
        <w:tc>
          <w:tcPr>
            <w:tcW w:w="2848" w:type="dxa"/>
            <w:tcBorders>
              <w:top w:val="single" w:sz="4" w:space="0" w:color="000000"/>
              <w:left w:val="single" w:sz="4" w:space="0" w:color="000000"/>
              <w:bottom w:val="single" w:sz="4" w:space="0" w:color="000000"/>
              <w:right w:val="single" w:sz="4" w:space="0" w:color="000000"/>
            </w:tcBorders>
          </w:tcPr>
          <w:p w:rsidR="00932C79" w:rsidRPr="00C71217" w:rsidRDefault="00232370" w:rsidP="00FA748F">
            <w:pPr>
              <w:spacing w:line="259" w:lineRule="auto"/>
              <w:ind w:left="0" w:firstLine="0"/>
              <w:rPr>
                <w:rFonts w:cstheme="minorHAnsi"/>
              </w:rPr>
            </w:pPr>
            <w:r>
              <w:rPr>
                <w:rFonts w:cstheme="minorHAnsi"/>
              </w:rPr>
              <w:t>The Committee will consider its effectiveness by obtaining and evaluating feedback</w:t>
            </w:r>
          </w:p>
        </w:tc>
      </w:tr>
    </w:tbl>
    <w:p w:rsidR="00C71217" w:rsidRPr="00C71217" w:rsidRDefault="00C71217" w:rsidP="00C71217">
      <w:pPr>
        <w:spacing w:line="259" w:lineRule="auto"/>
        <w:ind w:left="0" w:firstLine="0"/>
        <w:rPr>
          <w:rFonts w:asciiTheme="minorHAnsi" w:hAnsiTheme="minorHAnsi" w:cstheme="minorHAnsi"/>
        </w:rPr>
      </w:pPr>
      <w:r w:rsidRPr="00C71217">
        <w:rPr>
          <w:rFonts w:asciiTheme="minorHAnsi" w:hAnsiTheme="minorHAnsi" w:cstheme="minorHAnsi"/>
        </w:rPr>
        <w:t xml:space="preserve"> </w:t>
      </w:r>
    </w:p>
    <w:p w:rsidR="00C71217" w:rsidRPr="00C71217" w:rsidRDefault="00C71217" w:rsidP="00C71217">
      <w:pPr>
        <w:spacing w:line="250" w:lineRule="auto"/>
        <w:ind w:left="0" w:firstLine="0"/>
        <w:rPr>
          <w:rFonts w:asciiTheme="minorHAnsi" w:hAnsiTheme="minorHAnsi" w:cstheme="minorHAnsi"/>
        </w:rPr>
      </w:pPr>
      <w:r w:rsidRPr="00C71217">
        <w:rPr>
          <w:rFonts w:asciiTheme="minorHAnsi" w:eastAsia="Arial" w:hAnsiTheme="minorHAnsi" w:cstheme="minorHAnsi"/>
          <w:b/>
        </w:rPr>
        <w:t xml:space="preserve">Issues arising from this self-assessment are: </w:t>
      </w:r>
    </w:p>
    <w:p w:rsidR="00C71217" w:rsidRPr="00C71217" w:rsidRDefault="00C71217" w:rsidP="00C71217">
      <w:pPr>
        <w:spacing w:after="17" w:line="259" w:lineRule="auto"/>
        <w:ind w:left="0" w:firstLine="0"/>
        <w:rPr>
          <w:rFonts w:asciiTheme="minorHAnsi" w:hAnsiTheme="minorHAnsi" w:cstheme="minorHAnsi"/>
        </w:rPr>
      </w:pPr>
      <w:r w:rsidRPr="00C71217">
        <w:rPr>
          <w:rFonts w:asciiTheme="minorHAnsi" w:eastAsia="Arial" w:hAnsiTheme="minorHAnsi" w:cstheme="minorHAnsi"/>
          <w:b/>
        </w:rPr>
        <w:t xml:space="preserve"> </w:t>
      </w:r>
    </w:p>
    <w:p w:rsidR="00C71217" w:rsidRPr="00C71217" w:rsidRDefault="00C71217" w:rsidP="00491DB2">
      <w:pPr>
        <w:numPr>
          <w:ilvl w:val="0"/>
          <w:numId w:val="12"/>
        </w:numPr>
        <w:spacing w:after="5" w:line="249" w:lineRule="auto"/>
        <w:ind w:right="58" w:hanging="360"/>
        <w:rPr>
          <w:rFonts w:asciiTheme="minorHAnsi" w:hAnsiTheme="minorHAnsi" w:cstheme="minorHAnsi"/>
        </w:rPr>
      </w:pPr>
      <w:r w:rsidRPr="00C71217">
        <w:rPr>
          <w:rFonts w:asciiTheme="minorHAnsi" w:hAnsiTheme="minorHAnsi" w:cstheme="minorHAnsi"/>
        </w:rPr>
        <w:t xml:space="preserve">The Committee will consider the need for further assurance once the revised Corporate Governance Framework has been implemented. </w:t>
      </w:r>
    </w:p>
    <w:p w:rsidR="00C71217" w:rsidRPr="00C71217" w:rsidRDefault="00C71217" w:rsidP="00C71217">
      <w:pPr>
        <w:spacing w:line="259" w:lineRule="auto"/>
        <w:ind w:left="0" w:firstLine="0"/>
        <w:rPr>
          <w:rFonts w:asciiTheme="minorHAnsi" w:hAnsiTheme="minorHAnsi" w:cstheme="minorHAnsi"/>
        </w:rPr>
      </w:pPr>
      <w:r w:rsidRPr="00C71217">
        <w:rPr>
          <w:rFonts w:asciiTheme="minorHAnsi" w:hAnsiTheme="minorHAnsi" w:cstheme="minorHAnsi"/>
        </w:rPr>
        <w:t xml:space="preserve"> </w:t>
      </w:r>
    </w:p>
    <w:p w:rsidR="00FA748F" w:rsidRPr="001A5A9E" w:rsidRDefault="00FA748F" w:rsidP="00491DB2">
      <w:pPr>
        <w:numPr>
          <w:ilvl w:val="0"/>
          <w:numId w:val="12"/>
        </w:numPr>
        <w:spacing w:after="5" w:line="249" w:lineRule="auto"/>
        <w:ind w:right="58" w:hanging="360"/>
        <w:rPr>
          <w:rFonts w:asciiTheme="minorHAnsi" w:hAnsiTheme="minorHAnsi" w:cstheme="minorHAnsi"/>
        </w:rPr>
      </w:pPr>
      <w:r w:rsidRPr="00C71217">
        <w:rPr>
          <w:rFonts w:asciiTheme="minorHAnsi" w:hAnsiTheme="minorHAnsi" w:cstheme="minorHAnsi"/>
        </w:rPr>
        <w:t xml:space="preserve">The Committee will consider </w:t>
      </w:r>
      <w:r w:rsidRPr="00232370">
        <w:rPr>
          <w:rFonts w:asciiTheme="minorHAnsi" w:hAnsiTheme="minorHAnsi" w:cstheme="minorHAnsi"/>
        </w:rPr>
        <w:t xml:space="preserve">the need for further assurance once the revised Corporate Risk Register has been </w:t>
      </w:r>
      <w:r w:rsidR="001A5A9E">
        <w:rPr>
          <w:rFonts w:asciiTheme="minorHAnsi" w:hAnsiTheme="minorHAnsi" w:cstheme="minorHAnsi"/>
        </w:rPr>
        <w:t>further developed</w:t>
      </w:r>
      <w:r w:rsidRPr="00232370">
        <w:rPr>
          <w:rFonts w:asciiTheme="minorHAnsi" w:hAnsiTheme="minorHAnsi" w:cstheme="minorHAnsi"/>
        </w:rPr>
        <w:t xml:space="preserve">. </w:t>
      </w:r>
    </w:p>
    <w:p w:rsidR="00232370" w:rsidRPr="001A5A9E" w:rsidRDefault="00232370" w:rsidP="00A33D21">
      <w:pPr>
        <w:pStyle w:val="ListParagraph"/>
        <w:rPr>
          <w:rFonts w:asciiTheme="minorHAnsi" w:hAnsiTheme="minorHAnsi" w:cstheme="minorHAnsi"/>
        </w:rPr>
      </w:pPr>
    </w:p>
    <w:p w:rsidR="00232370" w:rsidRPr="00232370" w:rsidRDefault="00232370" w:rsidP="00491DB2">
      <w:pPr>
        <w:numPr>
          <w:ilvl w:val="0"/>
          <w:numId w:val="12"/>
        </w:numPr>
        <w:spacing w:after="5" w:line="249" w:lineRule="auto"/>
        <w:ind w:right="58" w:hanging="360"/>
        <w:rPr>
          <w:rFonts w:asciiTheme="minorHAnsi" w:hAnsiTheme="minorHAnsi" w:cstheme="minorHAnsi"/>
        </w:rPr>
      </w:pPr>
      <w:r w:rsidRPr="00A33D21">
        <w:rPr>
          <w:rFonts w:asciiTheme="minorHAnsi" w:hAnsiTheme="minorHAnsi" w:cstheme="minorHAnsi"/>
        </w:rPr>
        <w:t>The Committee will consider its effectiveness by obtaining and evaluating feedback</w:t>
      </w:r>
      <w:r>
        <w:rPr>
          <w:rFonts w:asciiTheme="minorHAnsi" w:hAnsiTheme="minorHAnsi" w:cstheme="minorHAnsi"/>
        </w:rPr>
        <w:t xml:space="preserve"> during 2018-19</w:t>
      </w:r>
    </w:p>
    <w:p w:rsidR="00C71217" w:rsidRPr="00C71217" w:rsidRDefault="00C71217" w:rsidP="00C71217">
      <w:pPr>
        <w:spacing w:line="259" w:lineRule="auto"/>
        <w:ind w:left="0" w:firstLine="0"/>
        <w:rPr>
          <w:rFonts w:asciiTheme="minorHAnsi" w:hAnsiTheme="minorHAnsi" w:cstheme="minorHAnsi"/>
        </w:rPr>
      </w:pPr>
    </w:p>
    <w:p w:rsidR="00C71217" w:rsidRPr="00C71217" w:rsidRDefault="00C71217">
      <w:pPr>
        <w:ind w:left="0" w:firstLine="0"/>
        <w:rPr>
          <w:rFonts w:asciiTheme="minorHAnsi" w:eastAsia="Arial" w:hAnsiTheme="minorHAnsi" w:cstheme="minorHAnsi"/>
        </w:rPr>
      </w:pPr>
      <w:r w:rsidRPr="00C71217">
        <w:rPr>
          <w:rFonts w:asciiTheme="minorHAnsi" w:eastAsia="Arial" w:hAnsiTheme="minorHAnsi" w:cstheme="minorHAnsi"/>
        </w:rPr>
        <w:br w:type="page"/>
      </w:r>
    </w:p>
    <w:p w:rsidR="00002905" w:rsidRPr="00663E69" w:rsidRDefault="00002905" w:rsidP="00002905">
      <w:pPr>
        <w:spacing w:line="259" w:lineRule="auto"/>
        <w:ind w:right="54"/>
        <w:rPr>
          <w:rFonts w:asciiTheme="minorHAnsi" w:hAnsiTheme="minorHAnsi" w:cstheme="minorHAnsi"/>
        </w:rPr>
      </w:pPr>
      <w:r w:rsidRPr="00663E69">
        <w:rPr>
          <w:rFonts w:asciiTheme="minorHAnsi" w:eastAsia="Arial" w:hAnsiTheme="minorHAnsi" w:cstheme="minorHAnsi"/>
        </w:rPr>
        <w:t xml:space="preserve">Appendix </w:t>
      </w:r>
      <w:r w:rsidR="00C71217" w:rsidRPr="00663E69">
        <w:rPr>
          <w:rFonts w:asciiTheme="minorHAnsi" w:eastAsia="Arial" w:hAnsiTheme="minorHAnsi" w:cstheme="minorHAnsi"/>
        </w:rPr>
        <w:t>D</w:t>
      </w:r>
    </w:p>
    <w:p w:rsidR="00002905" w:rsidRPr="00663E69" w:rsidRDefault="00002905" w:rsidP="00663E69">
      <w:pPr>
        <w:spacing w:line="259" w:lineRule="auto"/>
        <w:ind w:left="0" w:right="3" w:firstLine="0"/>
        <w:rPr>
          <w:rFonts w:asciiTheme="minorHAnsi" w:hAnsiTheme="minorHAnsi" w:cstheme="minorHAnsi"/>
        </w:rPr>
      </w:pPr>
      <w:r w:rsidRPr="00663E69">
        <w:rPr>
          <w:rFonts w:asciiTheme="minorHAnsi" w:hAnsiTheme="minorHAnsi" w:cstheme="minorHAnsi"/>
        </w:rPr>
        <w:t xml:space="preserve">Committee Members Assessment –Knowledge and Skills Framework  </w:t>
      </w:r>
    </w:p>
    <w:p w:rsidR="00002905" w:rsidRPr="00663E69" w:rsidRDefault="00002905" w:rsidP="00002905">
      <w:pPr>
        <w:spacing w:after="29"/>
        <w:ind w:left="-5" w:right="58" w:firstLine="5"/>
        <w:rPr>
          <w:rFonts w:asciiTheme="minorHAnsi" w:hAnsiTheme="minorHAnsi" w:cstheme="minorHAnsi"/>
        </w:rPr>
      </w:pPr>
      <w:r w:rsidRPr="00663E69">
        <w:rPr>
          <w:rFonts w:asciiTheme="minorHAnsi" w:hAnsiTheme="minorHAnsi" w:cstheme="minorHAnsi"/>
        </w:rPr>
        <w:t xml:space="preserve">(Based on Appendix C of CIPFA’s “Audit Committees - Practical Guidance for Local Authorities and Police”) </w:t>
      </w:r>
    </w:p>
    <w:p w:rsidR="00002905" w:rsidRPr="00002905" w:rsidRDefault="00002905" w:rsidP="00002905">
      <w:pPr>
        <w:spacing w:line="259" w:lineRule="auto"/>
        <w:ind w:left="0" w:right="3" w:firstLine="0"/>
        <w:jc w:val="center"/>
        <w:rPr>
          <w:rFonts w:asciiTheme="minorHAnsi" w:hAnsiTheme="minorHAnsi" w:cstheme="minorHAnsi"/>
        </w:rPr>
      </w:pPr>
      <w:r w:rsidRPr="00002905">
        <w:rPr>
          <w:rFonts w:asciiTheme="minorHAnsi" w:hAnsiTheme="minorHAnsi" w:cstheme="minorHAnsi"/>
        </w:rPr>
        <w:t xml:space="preserve"> </w:t>
      </w:r>
    </w:p>
    <w:tbl>
      <w:tblPr>
        <w:tblStyle w:val="TableGrid"/>
        <w:tblW w:w="9609" w:type="dxa"/>
        <w:tblInd w:w="5" w:type="dxa"/>
        <w:tblCellMar>
          <w:top w:w="49" w:type="dxa"/>
          <w:left w:w="108" w:type="dxa"/>
          <w:right w:w="42" w:type="dxa"/>
        </w:tblCellMar>
        <w:tblLook w:val="04A0" w:firstRow="1" w:lastRow="0" w:firstColumn="1" w:lastColumn="0" w:noHBand="0" w:noVBand="1"/>
      </w:tblPr>
      <w:tblGrid>
        <w:gridCol w:w="1819"/>
        <w:gridCol w:w="5310"/>
        <w:gridCol w:w="2480"/>
      </w:tblGrid>
      <w:tr w:rsidR="00002905" w:rsidRPr="00002905" w:rsidTr="00663E69">
        <w:trPr>
          <w:trHeight w:val="605"/>
        </w:trPr>
        <w:tc>
          <w:tcPr>
            <w:tcW w:w="1819" w:type="dxa"/>
            <w:tcBorders>
              <w:top w:val="single" w:sz="4"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jc w:val="center"/>
              <w:rPr>
                <w:rFonts w:cstheme="minorHAnsi"/>
              </w:rPr>
            </w:pPr>
            <w:r w:rsidRPr="00002905">
              <w:rPr>
                <w:rFonts w:eastAsia="Arial" w:cstheme="minorHAnsi"/>
                <w:b/>
              </w:rPr>
              <w:t>Knowledge area</w:t>
            </w:r>
            <w:r w:rsidRPr="00002905">
              <w:rPr>
                <w:rFonts w:cstheme="minorHAnsi"/>
              </w:rPr>
              <w:t xml:space="preserve"> </w:t>
            </w:r>
          </w:p>
        </w:tc>
        <w:tc>
          <w:tcPr>
            <w:tcW w:w="5310" w:type="dxa"/>
            <w:tcBorders>
              <w:top w:val="single" w:sz="4" w:space="0" w:color="000000"/>
              <w:left w:val="single" w:sz="6" w:space="0" w:color="000000"/>
              <w:bottom w:val="single" w:sz="6" w:space="0" w:color="000000"/>
              <w:right w:val="single" w:sz="6" w:space="0" w:color="000000"/>
            </w:tcBorders>
          </w:tcPr>
          <w:p w:rsidR="00002905" w:rsidRPr="00002905" w:rsidRDefault="00002905" w:rsidP="00002905">
            <w:pPr>
              <w:spacing w:line="259" w:lineRule="auto"/>
              <w:ind w:left="0" w:right="56" w:firstLine="0"/>
              <w:jc w:val="center"/>
              <w:rPr>
                <w:rFonts w:cstheme="minorHAnsi"/>
              </w:rPr>
            </w:pPr>
            <w:r w:rsidRPr="00002905">
              <w:rPr>
                <w:rFonts w:eastAsia="Arial" w:cstheme="minorHAnsi"/>
                <w:b/>
              </w:rPr>
              <w:t>Details of core knowledge required</w:t>
            </w:r>
            <w:r w:rsidRPr="00002905">
              <w:rPr>
                <w:rFonts w:cstheme="minorHAnsi"/>
              </w:rPr>
              <w:t xml:space="preserve"> </w:t>
            </w:r>
          </w:p>
        </w:tc>
        <w:tc>
          <w:tcPr>
            <w:tcW w:w="2480" w:type="dxa"/>
            <w:tcBorders>
              <w:top w:val="single" w:sz="4"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jc w:val="center"/>
              <w:rPr>
                <w:rFonts w:cstheme="minorHAnsi"/>
              </w:rPr>
            </w:pPr>
            <w:r w:rsidRPr="00002905">
              <w:rPr>
                <w:rFonts w:eastAsia="Arial" w:cstheme="minorHAnsi"/>
                <w:b/>
              </w:rPr>
              <w:t xml:space="preserve">Identified Need for Training </w:t>
            </w:r>
          </w:p>
        </w:tc>
      </w:tr>
      <w:tr w:rsidR="00002905" w:rsidRPr="00002905" w:rsidTr="00663E69">
        <w:trPr>
          <w:trHeight w:val="1198"/>
        </w:trPr>
        <w:tc>
          <w:tcPr>
            <w:tcW w:w="1819" w:type="dxa"/>
            <w:tcBorders>
              <w:top w:val="single" w:sz="6"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Organisational knowledge  </w:t>
            </w:r>
          </w:p>
        </w:tc>
        <w:tc>
          <w:tcPr>
            <w:tcW w:w="5310" w:type="dxa"/>
            <w:tcBorders>
              <w:top w:val="single" w:sz="6" w:space="0" w:color="000000"/>
              <w:left w:val="single" w:sz="6" w:space="0" w:color="000000"/>
              <w:bottom w:val="single" w:sz="6" w:space="0" w:color="000000"/>
              <w:right w:val="single" w:sz="6" w:space="0" w:color="000000"/>
            </w:tcBorders>
          </w:tcPr>
          <w:p w:rsidR="00002905" w:rsidRPr="00002905" w:rsidRDefault="00002905" w:rsidP="00002905">
            <w:pPr>
              <w:spacing w:after="41"/>
              <w:ind w:left="0" w:firstLine="0"/>
              <w:rPr>
                <w:rFonts w:cstheme="minorHAnsi"/>
              </w:rPr>
            </w:pPr>
            <w:r w:rsidRPr="00002905">
              <w:rPr>
                <w:rFonts w:cstheme="minorHAnsi"/>
              </w:rPr>
              <w:t xml:space="preserve">An overview of the governance structures of the authority and decision-making processes.  </w:t>
            </w:r>
          </w:p>
          <w:p w:rsidR="00002905" w:rsidRPr="00002905" w:rsidRDefault="00002905" w:rsidP="00002905">
            <w:pPr>
              <w:spacing w:line="259" w:lineRule="auto"/>
              <w:ind w:left="0" w:firstLine="0"/>
              <w:rPr>
                <w:rFonts w:cstheme="minorHAnsi"/>
              </w:rPr>
            </w:pPr>
            <w:r w:rsidRPr="00002905">
              <w:rPr>
                <w:rFonts w:cstheme="minorHAnsi"/>
              </w:rPr>
              <w:t xml:space="preserve">Knowledge of the organisational objectives and major functions of the authority.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p>
        </w:tc>
      </w:tr>
      <w:tr w:rsidR="00002905" w:rsidRPr="00002905" w:rsidTr="00663E69">
        <w:trPr>
          <w:trHeight w:val="1752"/>
        </w:trPr>
        <w:tc>
          <w:tcPr>
            <w:tcW w:w="1819" w:type="dxa"/>
            <w:tcBorders>
              <w:top w:val="single" w:sz="6"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Audit committee role and functions  </w:t>
            </w:r>
          </w:p>
        </w:tc>
        <w:tc>
          <w:tcPr>
            <w:tcW w:w="5310" w:type="dxa"/>
            <w:tcBorders>
              <w:top w:val="single" w:sz="6" w:space="0" w:color="000000"/>
              <w:left w:val="single" w:sz="6" w:space="0" w:color="000000"/>
              <w:bottom w:val="single" w:sz="6" w:space="0" w:color="000000"/>
              <w:right w:val="single" w:sz="6" w:space="0" w:color="000000"/>
            </w:tcBorders>
          </w:tcPr>
          <w:p w:rsidR="00002905" w:rsidRPr="00002905" w:rsidRDefault="00002905" w:rsidP="00002905">
            <w:pPr>
              <w:spacing w:after="42" w:line="239" w:lineRule="auto"/>
              <w:ind w:left="0" w:firstLine="0"/>
              <w:rPr>
                <w:rFonts w:cstheme="minorHAnsi"/>
              </w:rPr>
            </w:pPr>
            <w:r w:rsidRPr="00002905">
              <w:rPr>
                <w:rFonts w:cstheme="minorHAnsi"/>
              </w:rPr>
              <w:t xml:space="preserve">An understanding of the audit committee’s role and place within the governance structures. Familiarity with the committee’s terms of reference and accountability arrangements.  </w:t>
            </w:r>
          </w:p>
          <w:p w:rsidR="00002905" w:rsidRPr="00002905" w:rsidRDefault="00002905" w:rsidP="00002905">
            <w:pPr>
              <w:spacing w:line="259" w:lineRule="auto"/>
              <w:ind w:left="0" w:firstLine="0"/>
              <w:rPr>
                <w:rFonts w:cstheme="minorHAnsi"/>
              </w:rPr>
            </w:pPr>
            <w:r w:rsidRPr="00002905">
              <w:rPr>
                <w:rFonts w:cstheme="minorHAnsi"/>
              </w:rPr>
              <w:t xml:space="preserve">Knowledge of the purpose and role of the audit committee.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r w:rsidRPr="00002905">
              <w:rPr>
                <w:rFonts w:cstheme="minorHAnsi"/>
              </w:rPr>
              <w:t xml:space="preserve"> </w:t>
            </w:r>
          </w:p>
        </w:tc>
      </w:tr>
      <w:tr w:rsidR="00002905" w:rsidRPr="00002905" w:rsidTr="00663E69">
        <w:trPr>
          <w:trHeight w:val="1474"/>
        </w:trPr>
        <w:tc>
          <w:tcPr>
            <w:tcW w:w="1819" w:type="dxa"/>
            <w:tcBorders>
              <w:top w:val="single" w:sz="6"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Governance  </w:t>
            </w:r>
          </w:p>
        </w:tc>
        <w:tc>
          <w:tcPr>
            <w:tcW w:w="5310" w:type="dxa"/>
            <w:tcBorders>
              <w:top w:val="single" w:sz="6" w:space="0" w:color="000000"/>
              <w:left w:val="single" w:sz="6"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Knowledge of the six principles of the </w:t>
            </w:r>
          </w:p>
          <w:p w:rsidR="00002905" w:rsidRPr="00002905" w:rsidRDefault="00002905" w:rsidP="00002905">
            <w:pPr>
              <w:spacing w:line="259" w:lineRule="auto"/>
              <w:ind w:left="0" w:firstLine="0"/>
              <w:jc w:val="both"/>
              <w:rPr>
                <w:rFonts w:cstheme="minorHAnsi"/>
              </w:rPr>
            </w:pPr>
            <w:r w:rsidRPr="00002905">
              <w:rPr>
                <w:rFonts w:cstheme="minorHAnsi"/>
              </w:rPr>
              <w:t xml:space="preserve">CIPFA/SOLACE Good Governance Framework </w:t>
            </w:r>
          </w:p>
          <w:p w:rsidR="00002905" w:rsidRPr="00002905" w:rsidRDefault="00002905" w:rsidP="00002905">
            <w:pPr>
              <w:spacing w:after="41"/>
              <w:ind w:left="0" w:right="22" w:firstLine="0"/>
              <w:rPr>
                <w:rFonts w:cstheme="minorHAnsi"/>
              </w:rPr>
            </w:pPr>
            <w:r w:rsidRPr="00002905">
              <w:rPr>
                <w:rFonts w:cstheme="minorHAnsi"/>
              </w:rPr>
              <w:t xml:space="preserve">and the requirements of the Annual Governance Statement (AGS).  </w:t>
            </w:r>
          </w:p>
          <w:p w:rsidR="00002905" w:rsidRPr="00002905" w:rsidRDefault="00002905" w:rsidP="00002905">
            <w:pPr>
              <w:spacing w:line="259" w:lineRule="auto"/>
              <w:ind w:left="0" w:firstLine="0"/>
              <w:rPr>
                <w:rFonts w:cstheme="minorHAnsi"/>
              </w:rPr>
            </w:pPr>
            <w:r w:rsidRPr="00002905">
              <w:rPr>
                <w:rFonts w:cstheme="minorHAnsi"/>
              </w:rPr>
              <w:t xml:space="preserve">Knowledge of the local code of governance.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r w:rsidRPr="00002905">
              <w:rPr>
                <w:rFonts w:cstheme="minorHAnsi"/>
              </w:rPr>
              <w:t xml:space="preserve">Briefing on the </w:t>
            </w:r>
          </w:p>
          <w:p w:rsidR="00002905" w:rsidRPr="00002905" w:rsidRDefault="00002905" w:rsidP="00002905">
            <w:pPr>
              <w:spacing w:line="259" w:lineRule="auto"/>
              <w:ind w:left="0" w:firstLine="0"/>
              <w:rPr>
                <w:rFonts w:cstheme="minorHAnsi"/>
              </w:rPr>
            </w:pPr>
            <w:r w:rsidRPr="00002905">
              <w:rPr>
                <w:rFonts w:cstheme="minorHAnsi"/>
              </w:rPr>
              <w:t xml:space="preserve">Annual Governance Statement including how assurances have been obtained.  </w:t>
            </w:r>
          </w:p>
        </w:tc>
      </w:tr>
      <w:tr w:rsidR="00002905" w:rsidRPr="00002905" w:rsidTr="00663E69">
        <w:trPr>
          <w:trHeight w:val="2028"/>
        </w:trPr>
        <w:tc>
          <w:tcPr>
            <w:tcW w:w="1819" w:type="dxa"/>
            <w:tcBorders>
              <w:top w:val="single" w:sz="6"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Internal audit  </w:t>
            </w:r>
          </w:p>
        </w:tc>
        <w:tc>
          <w:tcPr>
            <w:tcW w:w="5310" w:type="dxa"/>
            <w:tcBorders>
              <w:top w:val="single" w:sz="6" w:space="0" w:color="000000"/>
              <w:left w:val="single" w:sz="6" w:space="0" w:color="000000"/>
              <w:bottom w:val="single" w:sz="6" w:space="0" w:color="000000"/>
              <w:right w:val="single" w:sz="6" w:space="0" w:color="000000"/>
            </w:tcBorders>
          </w:tcPr>
          <w:p w:rsidR="00002905" w:rsidRPr="00002905" w:rsidRDefault="00002905" w:rsidP="00002905">
            <w:pPr>
              <w:spacing w:after="42" w:line="239" w:lineRule="auto"/>
              <w:ind w:left="0" w:right="50" w:firstLine="0"/>
              <w:rPr>
                <w:rFonts w:cstheme="minorHAnsi"/>
              </w:rPr>
            </w:pPr>
            <w:r w:rsidRPr="00002905">
              <w:rPr>
                <w:rFonts w:cstheme="minorHAnsi"/>
              </w:rPr>
              <w:t xml:space="preserve">An awareness of the key principles of the Public Sector Internal Audit Standards and the Local Government Application Note.  </w:t>
            </w:r>
          </w:p>
          <w:p w:rsidR="00002905" w:rsidRPr="00002905" w:rsidRDefault="00002905" w:rsidP="00002905">
            <w:pPr>
              <w:spacing w:line="259" w:lineRule="auto"/>
              <w:ind w:left="0" w:firstLine="0"/>
              <w:rPr>
                <w:rFonts w:cstheme="minorHAnsi"/>
              </w:rPr>
            </w:pPr>
            <w:r w:rsidRPr="00002905">
              <w:rPr>
                <w:rFonts w:cstheme="minorHAnsi"/>
              </w:rPr>
              <w:t xml:space="preserve">Knowledge of the arrangements for delivery of the internal audit service in the authority and how the role of the head of internal audit is fulfilled.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r w:rsidRPr="00002905">
              <w:rPr>
                <w:rFonts w:cstheme="minorHAnsi"/>
              </w:rPr>
              <w:t xml:space="preserve"> </w:t>
            </w:r>
          </w:p>
        </w:tc>
      </w:tr>
      <w:tr w:rsidR="00002905" w:rsidRPr="00002905" w:rsidTr="00663E69">
        <w:trPr>
          <w:trHeight w:val="2895"/>
        </w:trPr>
        <w:tc>
          <w:tcPr>
            <w:tcW w:w="1819" w:type="dxa"/>
            <w:tcBorders>
              <w:top w:val="single" w:sz="6"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Financial </w:t>
            </w:r>
          </w:p>
          <w:p w:rsidR="00002905" w:rsidRPr="00002905" w:rsidRDefault="00002905" w:rsidP="00002905">
            <w:pPr>
              <w:spacing w:line="259" w:lineRule="auto"/>
              <w:ind w:left="0" w:right="25" w:firstLine="0"/>
              <w:rPr>
                <w:rFonts w:cstheme="minorHAnsi"/>
              </w:rPr>
            </w:pPr>
            <w:r w:rsidRPr="00002905">
              <w:rPr>
                <w:rFonts w:cstheme="minorHAnsi"/>
              </w:rPr>
              <w:t xml:space="preserve">management and accounting  </w:t>
            </w:r>
          </w:p>
        </w:tc>
        <w:tc>
          <w:tcPr>
            <w:tcW w:w="5310" w:type="dxa"/>
            <w:tcBorders>
              <w:top w:val="single" w:sz="6" w:space="0" w:color="000000"/>
              <w:left w:val="single" w:sz="6" w:space="0" w:color="000000"/>
              <w:bottom w:val="single" w:sz="6" w:space="0" w:color="000000"/>
              <w:right w:val="single" w:sz="6" w:space="0" w:color="000000"/>
            </w:tcBorders>
          </w:tcPr>
          <w:p w:rsidR="00002905" w:rsidRPr="00002905" w:rsidRDefault="00002905" w:rsidP="00002905">
            <w:pPr>
              <w:spacing w:after="41"/>
              <w:ind w:left="0" w:right="14" w:firstLine="0"/>
              <w:rPr>
                <w:rFonts w:cstheme="minorHAnsi"/>
              </w:rPr>
            </w:pPr>
            <w:r w:rsidRPr="00002905">
              <w:rPr>
                <w:rFonts w:cstheme="minorHAnsi"/>
              </w:rPr>
              <w:t xml:space="preserve">Awareness of the financial statements that a local authority must produce and the principles it must follow to produce them.  </w:t>
            </w:r>
          </w:p>
          <w:p w:rsidR="00002905" w:rsidRPr="00002905" w:rsidRDefault="00002905" w:rsidP="00002905">
            <w:pPr>
              <w:spacing w:after="43" w:line="238" w:lineRule="auto"/>
              <w:ind w:left="0" w:firstLine="0"/>
              <w:rPr>
                <w:rFonts w:cstheme="minorHAnsi"/>
              </w:rPr>
            </w:pPr>
            <w:r w:rsidRPr="00002905">
              <w:rPr>
                <w:rFonts w:cstheme="minorHAnsi"/>
              </w:rPr>
              <w:t xml:space="preserve">Understanding of good financial management principles.  </w:t>
            </w:r>
          </w:p>
          <w:p w:rsidR="00002905" w:rsidRPr="00002905" w:rsidRDefault="00002905" w:rsidP="00002905">
            <w:pPr>
              <w:spacing w:line="259" w:lineRule="auto"/>
              <w:ind w:left="0" w:firstLine="0"/>
              <w:rPr>
                <w:rFonts w:cstheme="minorHAnsi"/>
              </w:rPr>
            </w:pPr>
            <w:r w:rsidRPr="00002905">
              <w:rPr>
                <w:rFonts w:cstheme="minorHAnsi"/>
              </w:rPr>
              <w:t xml:space="preserve">Knowledge of how the organisation meets the requirements of the role of the chief financial officer, as required by the CIPFA Statement on the Role of the Chief Financial Officer in Local Government.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r w:rsidRPr="00002905">
              <w:rPr>
                <w:rFonts w:cstheme="minorHAnsi"/>
              </w:rPr>
              <w:t xml:space="preserve">Briefing on financial statements </w:t>
            </w:r>
          </w:p>
        </w:tc>
      </w:tr>
      <w:tr w:rsidR="00002905" w:rsidRPr="00002905" w:rsidTr="00663E69">
        <w:trPr>
          <w:trHeight w:val="2340"/>
        </w:trPr>
        <w:tc>
          <w:tcPr>
            <w:tcW w:w="1819" w:type="dxa"/>
            <w:tcBorders>
              <w:top w:val="single" w:sz="6" w:space="0" w:color="000000"/>
              <w:left w:val="single" w:sz="4" w:space="0" w:color="000000"/>
              <w:bottom w:val="single" w:sz="4"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External audit  </w:t>
            </w:r>
          </w:p>
        </w:tc>
        <w:tc>
          <w:tcPr>
            <w:tcW w:w="5310" w:type="dxa"/>
            <w:tcBorders>
              <w:top w:val="single" w:sz="6" w:space="0" w:color="000000"/>
              <w:left w:val="single" w:sz="6" w:space="0" w:color="000000"/>
              <w:bottom w:val="single" w:sz="4" w:space="0" w:color="000000"/>
              <w:right w:val="single" w:sz="6" w:space="0" w:color="000000"/>
            </w:tcBorders>
          </w:tcPr>
          <w:p w:rsidR="00002905" w:rsidRPr="00002905" w:rsidRDefault="00002905" w:rsidP="00002905">
            <w:pPr>
              <w:spacing w:after="41"/>
              <w:ind w:left="0" w:firstLine="0"/>
              <w:rPr>
                <w:rFonts w:cstheme="minorHAnsi"/>
              </w:rPr>
            </w:pPr>
            <w:r w:rsidRPr="00002905">
              <w:rPr>
                <w:rFonts w:cstheme="minorHAnsi"/>
              </w:rPr>
              <w:t xml:space="preserve">Knowledge of the role and functions of the external auditor and who currently undertakes this role.  </w:t>
            </w:r>
          </w:p>
          <w:p w:rsidR="00002905" w:rsidRPr="00002905" w:rsidRDefault="00002905" w:rsidP="00002905">
            <w:pPr>
              <w:spacing w:after="41"/>
              <w:ind w:left="0" w:firstLine="0"/>
              <w:rPr>
                <w:rFonts w:cstheme="minorHAnsi"/>
              </w:rPr>
            </w:pPr>
            <w:r w:rsidRPr="00002905">
              <w:rPr>
                <w:rFonts w:cstheme="minorHAnsi"/>
              </w:rPr>
              <w:t xml:space="preserve">Knowledge of the key reports and assurances that external audit will provide.  </w:t>
            </w:r>
          </w:p>
          <w:p w:rsidR="00002905" w:rsidRPr="00002905" w:rsidRDefault="00002905" w:rsidP="00002905">
            <w:pPr>
              <w:spacing w:line="259" w:lineRule="auto"/>
              <w:ind w:left="0" w:firstLine="0"/>
              <w:rPr>
                <w:rFonts w:cstheme="minorHAnsi"/>
              </w:rPr>
            </w:pPr>
            <w:r w:rsidRPr="00002905">
              <w:rPr>
                <w:rFonts w:cstheme="minorHAnsi"/>
              </w:rPr>
              <w:t xml:space="preserve">Knowledge about arrangements for the appointment of auditors and quality monitoring undertaken.  </w:t>
            </w:r>
          </w:p>
        </w:tc>
        <w:tc>
          <w:tcPr>
            <w:tcW w:w="2480" w:type="dxa"/>
            <w:tcBorders>
              <w:top w:val="single" w:sz="6" w:space="0" w:color="000000"/>
              <w:left w:val="single" w:sz="6" w:space="0" w:color="000000"/>
              <w:bottom w:val="single" w:sz="4"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r w:rsidRPr="00002905">
              <w:rPr>
                <w:rFonts w:cstheme="minorHAnsi"/>
              </w:rPr>
              <w:t xml:space="preserve"> </w:t>
            </w:r>
          </w:p>
        </w:tc>
      </w:tr>
      <w:tr w:rsidR="00002905" w:rsidRPr="00002905" w:rsidTr="00663E69">
        <w:trPr>
          <w:trHeight w:val="2342"/>
        </w:trPr>
        <w:tc>
          <w:tcPr>
            <w:tcW w:w="1819" w:type="dxa"/>
            <w:tcBorders>
              <w:top w:val="single" w:sz="6"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Risk management  </w:t>
            </w:r>
          </w:p>
        </w:tc>
        <w:tc>
          <w:tcPr>
            <w:tcW w:w="5310" w:type="dxa"/>
            <w:tcBorders>
              <w:top w:val="single" w:sz="6" w:space="0" w:color="000000"/>
              <w:left w:val="single" w:sz="6" w:space="0" w:color="000000"/>
              <w:bottom w:val="single" w:sz="6" w:space="0" w:color="000000"/>
              <w:right w:val="single" w:sz="6" w:space="0" w:color="000000"/>
            </w:tcBorders>
          </w:tcPr>
          <w:p w:rsidR="00002905" w:rsidRPr="00002905" w:rsidRDefault="00002905" w:rsidP="00002905">
            <w:pPr>
              <w:spacing w:after="41"/>
              <w:ind w:left="0" w:firstLine="0"/>
              <w:rPr>
                <w:rFonts w:cstheme="minorHAnsi"/>
              </w:rPr>
            </w:pPr>
            <w:r w:rsidRPr="00002905">
              <w:rPr>
                <w:rFonts w:cstheme="minorHAnsi"/>
              </w:rPr>
              <w:t xml:space="preserve">Understanding of the principles of risk management, including linkage to good governance and decision making.  </w:t>
            </w:r>
          </w:p>
          <w:p w:rsidR="00002905" w:rsidRPr="00002905" w:rsidRDefault="00002905" w:rsidP="00002905">
            <w:pPr>
              <w:spacing w:after="43" w:line="238" w:lineRule="auto"/>
              <w:ind w:left="0" w:firstLine="0"/>
              <w:rPr>
                <w:rFonts w:cstheme="minorHAnsi"/>
              </w:rPr>
            </w:pPr>
            <w:r w:rsidRPr="00002905">
              <w:rPr>
                <w:rFonts w:cstheme="minorHAnsi"/>
              </w:rPr>
              <w:t xml:space="preserve">Knowledge of the risk management policy and strategy of the organisation.  </w:t>
            </w:r>
          </w:p>
          <w:p w:rsidR="00002905" w:rsidRPr="00002905" w:rsidRDefault="00002905" w:rsidP="00002905">
            <w:pPr>
              <w:spacing w:line="259" w:lineRule="auto"/>
              <w:ind w:left="0" w:firstLine="0"/>
              <w:rPr>
                <w:rFonts w:cstheme="minorHAnsi"/>
              </w:rPr>
            </w:pPr>
            <w:r w:rsidRPr="00002905">
              <w:rPr>
                <w:rFonts w:cstheme="minorHAnsi"/>
              </w:rPr>
              <w:t xml:space="preserve">Understanding of risk governance arrangements, including the role of members and of the audit committee.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r w:rsidRPr="00002905">
              <w:rPr>
                <w:rFonts w:cstheme="minorHAnsi"/>
              </w:rPr>
              <w:t xml:space="preserve"> </w:t>
            </w:r>
          </w:p>
        </w:tc>
      </w:tr>
      <w:tr w:rsidR="00002905" w:rsidRPr="00002905" w:rsidTr="00663E69">
        <w:trPr>
          <w:trHeight w:val="1791"/>
        </w:trPr>
        <w:tc>
          <w:tcPr>
            <w:tcW w:w="1819" w:type="dxa"/>
            <w:tcBorders>
              <w:top w:val="single" w:sz="6"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Counter-fraud  </w:t>
            </w:r>
          </w:p>
        </w:tc>
        <w:tc>
          <w:tcPr>
            <w:tcW w:w="5310" w:type="dxa"/>
            <w:tcBorders>
              <w:top w:val="single" w:sz="6" w:space="0" w:color="000000"/>
              <w:left w:val="single" w:sz="6" w:space="0" w:color="000000"/>
              <w:bottom w:val="single" w:sz="6" w:space="0" w:color="000000"/>
              <w:right w:val="single" w:sz="6" w:space="0" w:color="000000"/>
            </w:tcBorders>
          </w:tcPr>
          <w:p w:rsidR="00002905" w:rsidRPr="00002905" w:rsidRDefault="00002905" w:rsidP="00002905">
            <w:pPr>
              <w:spacing w:after="40" w:line="241" w:lineRule="auto"/>
              <w:ind w:left="0" w:right="40" w:firstLine="0"/>
              <w:rPr>
                <w:rFonts w:cstheme="minorHAnsi"/>
              </w:rPr>
            </w:pPr>
            <w:r w:rsidRPr="00002905">
              <w:rPr>
                <w:rFonts w:cstheme="minorHAnsi"/>
              </w:rPr>
              <w:t xml:space="preserve">An understanding of the main areas of fraud risk the organisation is exposed to.  </w:t>
            </w:r>
          </w:p>
          <w:p w:rsidR="00002905" w:rsidRPr="00002905" w:rsidRDefault="00002905" w:rsidP="00002905">
            <w:pPr>
              <w:spacing w:after="41"/>
              <w:ind w:left="0" w:firstLine="0"/>
              <w:rPr>
                <w:rFonts w:cstheme="minorHAnsi"/>
              </w:rPr>
            </w:pPr>
            <w:r w:rsidRPr="00002905">
              <w:rPr>
                <w:rFonts w:cstheme="minorHAnsi"/>
              </w:rPr>
              <w:t xml:space="preserve">Knowledge of the principles of good fraud risk management practice (Red Book 2).  </w:t>
            </w:r>
          </w:p>
          <w:p w:rsidR="00002905" w:rsidRPr="00002905" w:rsidRDefault="00002905" w:rsidP="00002905">
            <w:pPr>
              <w:spacing w:line="259" w:lineRule="auto"/>
              <w:ind w:left="0" w:firstLine="0"/>
              <w:rPr>
                <w:rFonts w:cstheme="minorHAnsi"/>
              </w:rPr>
            </w:pPr>
            <w:r w:rsidRPr="00002905">
              <w:rPr>
                <w:rFonts w:cstheme="minorHAnsi"/>
              </w:rPr>
              <w:t xml:space="preserve">Knowledge of the organisation’s arrangements for tackling fraud.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r w:rsidRPr="00002905">
              <w:rPr>
                <w:rFonts w:cstheme="minorHAnsi"/>
              </w:rPr>
              <w:t xml:space="preserve"> </w:t>
            </w:r>
          </w:p>
        </w:tc>
      </w:tr>
      <w:tr w:rsidR="00002905" w:rsidRPr="00002905" w:rsidTr="00B13B54">
        <w:trPr>
          <w:trHeight w:val="2067"/>
        </w:trPr>
        <w:tc>
          <w:tcPr>
            <w:tcW w:w="1819" w:type="dxa"/>
            <w:tcBorders>
              <w:top w:val="single" w:sz="6" w:space="0" w:color="000000"/>
              <w:left w:val="single" w:sz="4"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Values of good governance  </w:t>
            </w:r>
          </w:p>
        </w:tc>
        <w:tc>
          <w:tcPr>
            <w:tcW w:w="5310" w:type="dxa"/>
            <w:tcBorders>
              <w:top w:val="single" w:sz="6" w:space="0" w:color="000000"/>
              <w:left w:val="single" w:sz="6" w:space="0" w:color="000000"/>
              <w:bottom w:val="single" w:sz="6" w:space="0" w:color="000000"/>
              <w:right w:val="single" w:sz="6" w:space="0" w:color="000000"/>
            </w:tcBorders>
          </w:tcPr>
          <w:p w:rsidR="00002905" w:rsidRPr="00002905" w:rsidRDefault="00002905" w:rsidP="00002905">
            <w:pPr>
              <w:spacing w:line="259" w:lineRule="auto"/>
              <w:ind w:left="0" w:firstLine="0"/>
              <w:rPr>
                <w:rFonts w:cstheme="minorHAnsi"/>
              </w:rPr>
            </w:pPr>
            <w:r w:rsidRPr="00002905">
              <w:rPr>
                <w:rFonts w:cstheme="minorHAnsi"/>
              </w:rPr>
              <w:t xml:space="preserve">Knowledge of the Seven Principles of Public </w:t>
            </w:r>
          </w:p>
          <w:p w:rsidR="00002905" w:rsidRPr="00002905" w:rsidRDefault="00002905" w:rsidP="00002905">
            <w:pPr>
              <w:spacing w:after="19" w:line="259" w:lineRule="auto"/>
              <w:ind w:left="0" w:firstLine="0"/>
              <w:rPr>
                <w:rFonts w:cstheme="minorHAnsi"/>
              </w:rPr>
            </w:pPr>
            <w:r w:rsidRPr="00002905">
              <w:rPr>
                <w:rFonts w:cstheme="minorHAnsi"/>
              </w:rPr>
              <w:t xml:space="preserve">Life.  </w:t>
            </w:r>
          </w:p>
          <w:p w:rsidR="00002905" w:rsidRPr="00002905" w:rsidRDefault="00002905" w:rsidP="00002905">
            <w:pPr>
              <w:spacing w:after="41"/>
              <w:ind w:left="0" w:firstLine="0"/>
              <w:rPr>
                <w:rFonts w:cstheme="minorHAnsi"/>
              </w:rPr>
            </w:pPr>
            <w:r w:rsidRPr="00002905">
              <w:rPr>
                <w:rFonts w:cstheme="minorHAnsi"/>
              </w:rPr>
              <w:t xml:space="preserve">Knowledge of the authority’s key arrangements to uphold ethical standards for both members and staff.  </w:t>
            </w:r>
          </w:p>
          <w:p w:rsidR="00002905" w:rsidRPr="00002905" w:rsidRDefault="00002905" w:rsidP="00002905">
            <w:pPr>
              <w:spacing w:line="259" w:lineRule="auto"/>
              <w:ind w:left="0" w:firstLine="0"/>
              <w:rPr>
                <w:rFonts w:cstheme="minorHAnsi"/>
              </w:rPr>
            </w:pPr>
            <w:r w:rsidRPr="00002905">
              <w:rPr>
                <w:rFonts w:cstheme="minorHAnsi"/>
              </w:rPr>
              <w:t xml:space="preserve">Knowledge of the whistleblowing arrangements in the authority.  </w:t>
            </w:r>
          </w:p>
        </w:tc>
        <w:tc>
          <w:tcPr>
            <w:tcW w:w="2480" w:type="dxa"/>
            <w:tcBorders>
              <w:top w:val="single" w:sz="6" w:space="0" w:color="000000"/>
              <w:left w:val="single" w:sz="6" w:space="0" w:color="000000"/>
              <w:bottom w:val="single" w:sz="6" w:space="0" w:color="000000"/>
              <w:right w:val="single" w:sz="4" w:space="0" w:color="000000"/>
            </w:tcBorders>
            <w:shd w:val="clear" w:color="auto" w:fill="FFC000" w:themeFill="accent4"/>
          </w:tcPr>
          <w:p w:rsidR="00002905" w:rsidRPr="00002905" w:rsidRDefault="00002905" w:rsidP="00002905">
            <w:pPr>
              <w:spacing w:line="259" w:lineRule="auto"/>
              <w:ind w:left="0" w:firstLine="0"/>
              <w:rPr>
                <w:rFonts w:cstheme="minorHAnsi"/>
              </w:rPr>
            </w:pPr>
            <w:r w:rsidRPr="00002905">
              <w:rPr>
                <w:rFonts w:cstheme="minorHAnsi"/>
              </w:rPr>
              <w:t xml:space="preserve">Need for awareness of whistleblowing </w:t>
            </w:r>
            <w:r>
              <w:rPr>
                <w:rFonts w:cstheme="minorHAnsi"/>
              </w:rPr>
              <w:t xml:space="preserve">and complaints </w:t>
            </w:r>
            <w:r w:rsidRPr="00002905">
              <w:rPr>
                <w:rFonts w:cstheme="minorHAnsi"/>
              </w:rPr>
              <w:t xml:space="preserve">arrangements. </w:t>
            </w:r>
          </w:p>
        </w:tc>
      </w:tr>
      <w:tr w:rsidR="00B13B54" w:rsidRPr="00002905" w:rsidTr="00B13B54">
        <w:trPr>
          <w:trHeight w:val="1229"/>
        </w:trPr>
        <w:tc>
          <w:tcPr>
            <w:tcW w:w="1819" w:type="dxa"/>
            <w:tcBorders>
              <w:top w:val="single" w:sz="6" w:space="0" w:color="000000"/>
              <w:left w:val="single" w:sz="4" w:space="0" w:color="000000"/>
              <w:bottom w:val="single" w:sz="4" w:space="0" w:color="000000"/>
              <w:right w:val="single" w:sz="6" w:space="0" w:color="000000"/>
            </w:tcBorders>
          </w:tcPr>
          <w:p w:rsidR="00B13B54" w:rsidRPr="00002905" w:rsidRDefault="00B13B54" w:rsidP="00002905">
            <w:pPr>
              <w:spacing w:line="259" w:lineRule="auto"/>
              <w:ind w:left="0" w:firstLine="0"/>
              <w:rPr>
                <w:rFonts w:cstheme="minorHAnsi"/>
              </w:rPr>
            </w:pPr>
            <w:r>
              <w:rPr>
                <w:rFonts w:cstheme="minorHAnsi"/>
              </w:rPr>
              <w:t>Fire and Rescue Service</w:t>
            </w:r>
          </w:p>
        </w:tc>
        <w:tc>
          <w:tcPr>
            <w:tcW w:w="5310" w:type="dxa"/>
            <w:tcBorders>
              <w:top w:val="single" w:sz="6" w:space="0" w:color="000000"/>
              <w:left w:val="single" w:sz="6" w:space="0" w:color="000000"/>
              <w:bottom w:val="single" w:sz="4" w:space="0" w:color="000000"/>
              <w:right w:val="single" w:sz="6" w:space="0" w:color="000000"/>
            </w:tcBorders>
          </w:tcPr>
          <w:p w:rsidR="00B13B54" w:rsidRPr="00002905" w:rsidRDefault="00B13B54" w:rsidP="00002905">
            <w:pPr>
              <w:spacing w:line="259" w:lineRule="auto"/>
              <w:ind w:left="0" w:firstLine="0"/>
              <w:rPr>
                <w:rFonts w:cstheme="minorHAnsi"/>
              </w:rPr>
            </w:pPr>
            <w:r>
              <w:rPr>
                <w:rFonts w:cstheme="minorHAnsi"/>
              </w:rPr>
              <w:t>Knowledge of the implications for the governance framework that may arise from collaborations with the service</w:t>
            </w:r>
          </w:p>
        </w:tc>
        <w:tc>
          <w:tcPr>
            <w:tcW w:w="2480" w:type="dxa"/>
            <w:tcBorders>
              <w:top w:val="single" w:sz="6" w:space="0" w:color="000000"/>
              <w:left w:val="single" w:sz="6" w:space="0" w:color="000000"/>
              <w:bottom w:val="single" w:sz="4" w:space="0" w:color="000000"/>
              <w:right w:val="single" w:sz="4" w:space="0" w:color="000000"/>
            </w:tcBorders>
            <w:shd w:val="clear" w:color="auto" w:fill="FFC000" w:themeFill="accent4"/>
          </w:tcPr>
          <w:p w:rsidR="00B13B54" w:rsidRPr="00002905" w:rsidRDefault="00B13B54" w:rsidP="00002905">
            <w:pPr>
              <w:spacing w:line="259" w:lineRule="auto"/>
              <w:ind w:left="0" w:firstLine="0"/>
              <w:rPr>
                <w:rFonts w:cstheme="minorHAnsi"/>
              </w:rPr>
            </w:pPr>
            <w:r>
              <w:rPr>
                <w:rFonts w:cstheme="minorHAnsi"/>
              </w:rPr>
              <w:t>Ongoing need to be updated with developments and  impact</w:t>
            </w:r>
          </w:p>
        </w:tc>
      </w:tr>
    </w:tbl>
    <w:p w:rsidR="00002905" w:rsidRPr="00002905" w:rsidRDefault="00002905" w:rsidP="00002905">
      <w:pPr>
        <w:spacing w:line="259" w:lineRule="auto"/>
        <w:ind w:left="0" w:firstLine="0"/>
        <w:rPr>
          <w:rFonts w:asciiTheme="minorHAnsi" w:hAnsiTheme="minorHAnsi" w:cstheme="minorHAnsi"/>
        </w:rPr>
      </w:pPr>
      <w:r w:rsidRPr="00002905">
        <w:rPr>
          <w:rFonts w:asciiTheme="minorHAnsi" w:eastAsia="Arial" w:hAnsiTheme="minorHAnsi" w:cstheme="minorHAnsi"/>
          <w:b/>
        </w:rPr>
        <w:t xml:space="preserve"> </w:t>
      </w:r>
    </w:p>
    <w:p w:rsidR="00002905" w:rsidRPr="00002905" w:rsidRDefault="00002905" w:rsidP="00002905">
      <w:pPr>
        <w:spacing w:line="250" w:lineRule="auto"/>
        <w:ind w:left="-5" w:firstLine="5"/>
        <w:rPr>
          <w:rFonts w:asciiTheme="minorHAnsi" w:hAnsiTheme="minorHAnsi" w:cstheme="minorHAnsi"/>
        </w:rPr>
      </w:pPr>
      <w:r w:rsidRPr="00002905">
        <w:rPr>
          <w:rFonts w:asciiTheme="minorHAnsi" w:eastAsia="Arial" w:hAnsiTheme="minorHAnsi" w:cstheme="minorHAnsi"/>
          <w:b/>
        </w:rPr>
        <w:t xml:space="preserve">The training needs arising from this assessment are: </w:t>
      </w:r>
    </w:p>
    <w:p w:rsidR="00002905" w:rsidRPr="00002905" w:rsidRDefault="00002905" w:rsidP="00002905">
      <w:pPr>
        <w:spacing w:line="259" w:lineRule="auto"/>
        <w:ind w:left="0" w:firstLine="0"/>
        <w:rPr>
          <w:rFonts w:asciiTheme="minorHAnsi" w:hAnsiTheme="minorHAnsi" w:cstheme="minorHAnsi"/>
        </w:rPr>
      </w:pPr>
      <w:r w:rsidRPr="00002905">
        <w:rPr>
          <w:rFonts w:asciiTheme="minorHAnsi" w:eastAsia="Arial" w:hAnsiTheme="minorHAnsi" w:cstheme="minorHAnsi"/>
          <w:b/>
        </w:rPr>
        <w:t xml:space="preserve"> </w:t>
      </w:r>
    </w:p>
    <w:p w:rsidR="00B13B54" w:rsidRDefault="00002905" w:rsidP="00B13B54">
      <w:pPr>
        <w:numPr>
          <w:ilvl w:val="0"/>
          <w:numId w:val="11"/>
        </w:numPr>
        <w:spacing w:after="5" w:line="249" w:lineRule="auto"/>
        <w:ind w:right="58" w:hanging="360"/>
        <w:rPr>
          <w:rFonts w:asciiTheme="minorHAnsi" w:hAnsiTheme="minorHAnsi" w:cstheme="minorHAnsi"/>
        </w:rPr>
      </w:pPr>
      <w:r w:rsidRPr="00002905">
        <w:rPr>
          <w:rFonts w:asciiTheme="minorHAnsi" w:hAnsiTheme="minorHAnsi" w:cstheme="minorHAnsi"/>
        </w:rPr>
        <w:t>Briefing on the Annual Governance Statement, including how assurances have been obtained</w:t>
      </w:r>
      <w:r>
        <w:rPr>
          <w:rFonts w:asciiTheme="minorHAnsi" w:hAnsiTheme="minorHAnsi" w:cstheme="minorHAnsi"/>
        </w:rPr>
        <w:t xml:space="preserve"> – undertaken at the May 2018 JIAC Meeting</w:t>
      </w:r>
    </w:p>
    <w:p w:rsidR="00002905" w:rsidRPr="00B13B54" w:rsidRDefault="00002905" w:rsidP="00B13B54">
      <w:pPr>
        <w:numPr>
          <w:ilvl w:val="0"/>
          <w:numId w:val="11"/>
        </w:numPr>
        <w:spacing w:after="5" w:line="249" w:lineRule="auto"/>
        <w:ind w:right="58" w:hanging="360"/>
        <w:rPr>
          <w:rFonts w:asciiTheme="minorHAnsi" w:hAnsiTheme="minorHAnsi" w:cstheme="minorHAnsi"/>
        </w:rPr>
      </w:pPr>
      <w:r w:rsidRPr="00B13B54">
        <w:rPr>
          <w:rFonts w:asciiTheme="minorHAnsi" w:hAnsiTheme="minorHAnsi" w:cstheme="minorHAnsi"/>
        </w:rPr>
        <w:t>Briefing on financial statements – to be provided at the August 2018 JIAC Meeting</w:t>
      </w:r>
    </w:p>
    <w:p w:rsidR="00B13B54" w:rsidRPr="00B13B54" w:rsidRDefault="00002905" w:rsidP="00B13B54">
      <w:pPr>
        <w:numPr>
          <w:ilvl w:val="0"/>
          <w:numId w:val="11"/>
        </w:numPr>
        <w:spacing w:after="5" w:line="249" w:lineRule="auto"/>
        <w:ind w:right="58" w:hanging="360"/>
        <w:rPr>
          <w:rFonts w:asciiTheme="minorHAnsi" w:hAnsiTheme="minorHAnsi" w:cstheme="minorHAnsi"/>
        </w:rPr>
      </w:pPr>
      <w:r w:rsidRPr="00B13B54">
        <w:rPr>
          <w:rFonts w:asciiTheme="minorHAnsi" w:hAnsiTheme="minorHAnsi" w:cstheme="minorHAnsi"/>
        </w:rPr>
        <w:t>Need for awareness of whistleblowing and complaints arrangements – added to Work Pla</w:t>
      </w:r>
      <w:r w:rsidR="00B13B54">
        <w:rPr>
          <w:rFonts w:asciiTheme="minorHAnsi" w:hAnsiTheme="minorHAnsi" w:cstheme="minorHAnsi"/>
        </w:rPr>
        <w:t>n</w:t>
      </w:r>
    </w:p>
    <w:p w:rsidR="00B13B54" w:rsidRPr="00B13B54" w:rsidRDefault="00B13B54" w:rsidP="00491DB2">
      <w:pPr>
        <w:numPr>
          <w:ilvl w:val="0"/>
          <w:numId w:val="11"/>
        </w:numPr>
        <w:spacing w:after="5" w:line="249" w:lineRule="auto"/>
        <w:ind w:right="58" w:hanging="360"/>
        <w:rPr>
          <w:rFonts w:asciiTheme="minorHAnsi" w:hAnsiTheme="minorHAnsi" w:cstheme="minorHAnsi"/>
        </w:rPr>
      </w:pPr>
      <w:r w:rsidRPr="00B13B54">
        <w:rPr>
          <w:rFonts w:asciiTheme="minorHAnsi" w:hAnsiTheme="minorHAnsi" w:cstheme="minorHAnsi"/>
        </w:rPr>
        <w:t>Ongoing need to be updated with developments</w:t>
      </w:r>
      <w:r>
        <w:rPr>
          <w:rFonts w:asciiTheme="minorHAnsi" w:hAnsiTheme="minorHAnsi" w:cstheme="minorHAnsi"/>
        </w:rPr>
        <w:t xml:space="preserve"> with</w:t>
      </w:r>
      <w:r w:rsidRPr="00B13B54">
        <w:rPr>
          <w:rFonts w:asciiTheme="minorHAnsi" w:hAnsiTheme="minorHAnsi" w:cstheme="minorHAnsi"/>
        </w:rPr>
        <w:t xml:space="preserve"> and impact</w:t>
      </w:r>
      <w:r>
        <w:rPr>
          <w:rFonts w:asciiTheme="minorHAnsi" w:hAnsiTheme="minorHAnsi" w:cstheme="minorHAnsi"/>
        </w:rPr>
        <w:t xml:space="preserve"> of Fire and Rescue Service – add as a regular agenda item</w:t>
      </w:r>
      <w:r w:rsidR="00683C31">
        <w:rPr>
          <w:rFonts w:asciiTheme="minorHAnsi" w:hAnsiTheme="minorHAnsi" w:cstheme="minorHAnsi"/>
        </w:rPr>
        <w:t>.</w:t>
      </w:r>
    </w:p>
    <w:p w:rsidR="00490B12" w:rsidRPr="00B13B54" w:rsidRDefault="00490B12" w:rsidP="001F4FCD">
      <w:pPr>
        <w:jc w:val="both"/>
        <w:rPr>
          <w:rFonts w:asciiTheme="minorHAnsi" w:hAnsiTheme="minorHAnsi" w:cstheme="minorHAnsi"/>
        </w:rPr>
      </w:pPr>
    </w:p>
    <w:sectPr w:rsidR="00490B12" w:rsidRPr="00B13B54" w:rsidSect="008615E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A3D" w:rsidRDefault="002C4A3D">
      <w:r>
        <w:separator/>
      </w:r>
    </w:p>
  </w:endnote>
  <w:endnote w:type="continuationSeparator" w:id="0">
    <w:p w:rsidR="002C4A3D" w:rsidRDefault="002C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483075"/>
      <w:docPartObj>
        <w:docPartGallery w:val="Page Numbers (Bottom of Page)"/>
        <w:docPartUnique/>
      </w:docPartObj>
    </w:sdtPr>
    <w:sdtEndPr>
      <w:rPr>
        <w:noProof/>
      </w:rPr>
    </w:sdtEndPr>
    <w:sdtContent>
      <w:p w:rsidR="00264606" w:rsidRDefault="00264606">
        <w:pPr>
          <w:pStyle w:val="Footer"/>
          <w:jc w:val="right"/>
        </w:pPr>
        <w:r>
          <w:rPr>
            <w:noProof/>
          </w:rPr>
          <w:fldChar w:fldCharType="begin"/>
        </w:r>
        <w:r>
          <w:rPr>
            <w:noProof/>
          </w:rPr>
          <w:instrText xml:space="preserve"> PAGE   \* MERGEFORMAT </w:instrText>
        </w:r>
        <w:r>
          <w:rPr>
            <w:noProof/>
          </w:rPr>
          <w:fldChar w:fldCharType="separate"/>
        </w:r>
        <w:r w:rsidR="00703909">
          <w:rPr>
            <w:noProof/>
          </w:rPr>
          <w:t>16</w:t>
        </w:r>
        <w:r>
          <w:rPr>
            <w:noProof/>
          </w:rPr>
          <w:fldChar w:fldCharType="end"/>
        </w:r>
      </w:p>
    </w:sdtContent>
  </w:sdt>
  <w:p w:rsidR="00264606" w:rsidRDefault="00264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606" w:rsidRDefault="00264606" w:rsidP="00F15158">
    <w:pPr>
      <w:pStyle w:val="Footer"/>
      <w:rPr>
        <w:color w:val="000000"/>
        <w:sz w:val="17"/>
      </w:rPr>
    </w:pPr>
    <w:bookmarkStart w:id="2" w:name="TITUS1FooterPrimary"/>
    <w:r>
      <w:rPr>
        <w:color w:val="000000"/>
        <w:sz w:val="17"/>
      </w:rPr>
      <w:t> </w:t>
    </w:r>
  </w:p>
  <w:bookmarkEnd w:id="2"/>
  <w:p w:rsidR="00264606" w:rsidRDefault="00264606" w:rsidP="00B3632C">
    <w:pPr>
      <w:pStyle w:val="Footer"/>
      <w:jc w:val="right"/>
    </w:pPr>
  </w:p>
  <w:p w:rsidR="00264606" w:rsidRDefault="00264606">
    <w:pPr>
      <w:pStyle w:val="Footer"/>
      <w:jc w:val="right"/>
    </w:pPr>
    <w:r>
      <w:rPr>
        <w:noProof/>
      </w:rPr>
      <w:fldChar w:fldCharType="begin"/>
    </w:r>
    <w:r>
      <w:rPr>
        <w:noProof/>
      </w:rPr>
      <w:instrText xml:space="preserve"> PAGE   \* MERGEFORMAT </w:instrText>
    </w:r>
    <w:r>
      <w:rPr>
        <w:noProof/>
      </w:rPr>
      <w:fldChar w:fldCharType="separate"/>
    </w:r>
    <w:r w:rsidR="00703909">
      <w:rPr>
        <w:noProof/>
      </w:rPr>
      <w:t>15</w:t>
    </w:r>
    <w:r>
      <w:rPr>
        <w:noProof/>
      </w:rPr>
      <w:fldChar w:fldCharType="end"/>
    </w:r>
  </w:p>
  <w:p w:rsidR="00264606" w:rsidRDefault="00264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793825"/>
      <w:docPartObj>
        <w:docPartGallery w:val="Page Numbers (Bottom of Page)"/>
        <w:docPartUnique/>
      </w:docPartObj>
    </w:sdtPr>
    <w:sdtEndPr>
      <w:rPr>
        <w:noProof/>
      </w:rPr>
    </w:sdtEndPr>
    <w:sdtContent>
      <w:p w:rsidR="00264606" w:rsidRDefault="00264606">
        <w:pPr>
          <w:pStyle w:val="Footer"/>
          <w:jc w:val="right"/>
        </w:pPr>
        <w:r>
          <w:rPr>
            <w:noProof/>
          </w:rPr>
          <w:fldChar w:fldCharType="begin"/>
        </w:r>
        <w:r>
          <w:rPr>
            <w:noProof/>
          </w:rPr>
          <w:instrText xml:space="preserve"> PAGE   \* MERGEFORMAT </w:instrText>
        </w:r>
        <w:r>
          <w:rPr>
            <w:noProof/>
          </w:rPr>
          <w:fldChar w:fldCharType="separate"/>
        </w:r>
        <w:r w:rsidR="00703909">
          <w:rPr>
            <w:noProof/>
          </w:rPr>
          <w:t>11</w:t>
        </w:r>
        <w:r>
          <w:rPr>
            <w:noProof/>
          </w:rPr>
          <w:fldChar w:fldCharType="end"/>
        </w:r>
      </w:p>
    </w:sdtContent>
  </w:sdt>
  <w:p w:rsidR="00264606" w:rsidRDefault="0026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A3D" w:rsidRDefault="002C4A3D">
      <w:r>
        <w:separator/>
      </w:r>
    </w:p>
  </w:footnote>
  <w:footnote w:type="continuationSeparator" w:id="0">
    <w:p w:rsidR="002C4A3D" w:rsidRDefault="002C4A3D">
      <w:r>
        <w:continuationSeparator/>
      </w:r>
    </w:p>
  </w:footnote>
  <w:footnote w:id="1">
    <w:p w:rsidR="00264606" w:rsidRDefault="00264606" w:rsidP="0064642E">
      <w:pPr>
        <w:pStyle w:val="FootnoteText"/>
        <w:ind w:left="142" w:hanging="142"/>
      </w:pPr>
      <w:r>
        <w:rPr>
          <w:rStyle w:val="FootnoteReference"/>
        </w:rPr>
        <w:footnoteRef/>
      </w:r>
      <w:r>
        <w:t xml:space="preserve"> </w:t>
      </w:r>
      <w:r w:rsidRPr="0064642E">
        <w:rPr>
          <w:rFonts w:asciiTheme="minorHAnsi" w:hAnsiTheme="minorHAnsi" w:cstheme="minorHAnsi"/>
        </w:rPr>
        <w:t>Audit committees can also support their authorities by undertaking a wider role in other areas including:</w:t>
      </w:r>
      <w:r>
        <w:rPr>
          <w:rFonts w:asciiTheme="minorHAnsi" w:hAnsiTheme="minorHAnsi" w:cstheme="minorHAnsi"/>
        </w:rPr>
        <w:t xml:space="preserve"> </w:t>
      </w:r>
      <w:r w:rsidRPr="0064642E">
        <w:rPr>
          <w:rFonts w:asciiTheme="minorHAnsi" w:hAnsiTheme="minorHAnsi" w:cstheme="minorHAnsi"/>
        </w:rPr>
        <w:t>Considering governance, risk or control matters at the request of other committees or statutory officers</w:t>
      </w:r>
      <w:r>
        <w:rPr>
          <w:rFonts w:asciiTheme="minorHAnsi" w:hAnsiTheme="minorHAnsi" w:cstheme="minorHAnsi"/>
        </w:rPr>
        <w:t xml:space="preserve">; </w:t>
      </w:r>
      <w:r w:rsidRPr="0064642E">
        <w:rPr>
          <w:rFonts w:asciiTheme="minorHAnsi" w:hAnsiTheme="minorHAnsi" w:cstheme="minorHAnsi"/>
        </w:rPr>
        <w:t>Working with local standards committees to support ethical values and reviewing the arrangements to achieve those values</w:t>
      </w:r>
      <w:r>
        <w:rPr>
          <w:rFonts w:asciiTheme="minorHAnsi" w:hAnsiTheme="minorHAnsi" w:cstheme="minorHAnsi"/>
        </w:rPr>
        <w:t xml:space="preserve">; </w:t>
      </w:r>
      <w:r w:rsidRPr="0064642E">
        <w:rPr>
          <w:rFonts w:asciiTheme="minorHAnsi" w:hAnsiTheme="minorHAnsi" w:cstheme="minorHAnsi"/>
        </w:rPr>
        <w:t>Reviewing and monitoring treasury management arrangements in accordance with the CIPFA Treasury Management Code of Practice.3</w:t>
      </w:r>
      <w:r>
        <w:rPr>
          <w:rFonts w:asciiTheme="minorHAnsi" w:hAnsiTheme="minorHAnsi" w:cstheme="minorHAnsi"/>
        </w:rPr>
        <w:t xml:space="preserve">; </w:t>
      </w:r>
      <w:r w:rsidRPr="0064642E">
        <w:rPr>
          <w:rFonts w:asciiTheme="minorHAnsi" w:hAnsiTheme="minorHAnsi" w:cstheme="minorHAnsi"/>
        </w:rPr>
        <w:t>Providing oversight of other public reports, such as the annual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606" w:rsidRDefault="00264606" w:rsidP="00F15158">
    <w:pPr>
      <w:pStyle w:val="Header"/>
      <w:rPr>
        <w:color w:val="000000"/>
        <w:sz w:val="17"/>
      </w:rPr>
    </w:pPr>
    <w:bookmarkStart w:id="0" w:name="TITUS1HeaderEvenPages"/>
    <w:r>
      <w:rPr>
        <w:color w:val="000000"/>
        <w:sz w:val="17"/>
      </w:rPr>
      <w:t> </w:t>
    </w:r>
  </w:p>
  <w:bookmarkEnd w:id="0"/>
  <w:p w:rsidR="00264606" w:rsidRDefault="00264606" w:rsidP="00B3632C">
    <w:pPr>
      <w:pStyle w:val="Header"/>
    </w:pPr>
  </w:p>
  <w:p w:rsidR="00264606" w:rsidRDefault="00264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606" w:rsidRDefault="00264606" w:rsidP="00F15158">
    <w:pPr>
      <w:pStyle w:val="Header"/>
      <w:rPr>
        <w:color w:val="000000"/>
        <w:sz w:val="17"/>
      </w:rPr>
    </w:pPr>
    <w:bookmarkStart w:id="1" w:name="TITUS1HeaderPrimary"/>
    <w:r>
      <w:rPr>
        <w:color w:val="000000"/>
        <w:sz w:val="17"/>
      </w:rPr>
      <w:t> </w:t>
    </w:r>
  </w:p>
  <w:bookmarkEnd w:id="1"/>
  <w:p w:rsidR="00264606" w:rsidRDefault="00264606" w:rsidP="00B3632C">
    <w:pPr>
      <w:pStyle w:val="Header"/>
    </w:pPr>
  </w:p>
  <w:p w:rsidR="00264606" w:rsidRDefault="00264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TITUS1HeaderFirstPage"/>
  <w:p w:rsidR="00264606" w:rsidRDefault="002C4A3D">
    <w:pPr>
      <w:pStyle w:val="Header"/>
    </w:pPr>
    <w:sdt>
      <w:sdtPr>
        <w:rPr>
          <w:color w:val="000000"/>
          <w:sz w:val="17"/>
        </w:rPr>
        <w:id w:val="577329250"/>
        <w:docPartObj>
          <w:docPartGallery w:val="Watermarks"/>
          <w:docPartUnique/>
        </w:docPartObj>
      </w:sdtPr>
      <w:sdtEndPr/>
      <w:sdtContent>
        <w:r>
          <w:rPr>
            <w:noProof/>
            <w:color w:val="000000"/>
            <w:sz w:val="17"/>
          </w:rPr>
          <w:pict w14:anchorId="378A4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64606">
      <w:rPr>
        <w:color w:val="000000"/>
        <w:sz w:val="17"/>
      </w:rPr>
      <w:t> </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11E3"/>
    <w:multiLevelType w:val="hybridMultilevel"/>
    <w:tmpl w:val="E22E79BE"/>
    <w:lvl w:ilvl="0" w:tplc="CFB29F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BA52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0C9EF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E680E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60E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6119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1887D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74CDB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1022E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4237CB"/>
    <w:multiLevelType w:val="multilevel"/>
    <w:tmpl w:val="31A05348"/>
    <w:lvl w:ilvl="0">
      <w:start w:val="1"/>
      <w:numFmt w:val="bullet"/>
      <w:lvlText w:val=""/>
      <w:lvlJc w:val="left"/>
      <w:pPr>
        <w:ind w:left="2214" w:hanging="360"/>
      </w:pPr>
      <w:rPr>
        <w:rFonts w:ascii="Symbol" w:hAnsi="Symbol" w:hint="default"/>
      </w:rPr>
    </w:lvl>
    <w:lvl w:ilvl="1">
      <w:start w:val="1"/>
      <w:numFmt w:val="decimal"/>
      <w:lvlText w:val="%1.%2."/>
      <w:lvlJc w:val="left"/>
      <w:pPr>
        <w:ind w:left="2646" w:hanging="432"/>
      </w:pPr>
      <w:rPr>
        <w:rFonts w:hint="default"/>
      </w:rPr>
    </w:lvl>
    <w:lvl w:ilvl="2">
      <w:start w:val="1"/>
      <w:numFmt w:val="decimal"/>
      <w:lvlText w:val="%1.%2.%3."/>
      <w:lvlJc w:val="left"/>
      <w:pPr>
        <w:ind w:left="3078" w:hanging="504"/>
      </w:pPr>
      <w:rPr>
        <w:rFonts w:hint="default"/>
      </w:rPr>
    </w:lvl>
    <w:lvl w:ilvl="3">
      <w:start w:val="1"/>
      <w:numFmt w:val="decimal"/>
      <w:lvlText w:val="%1.%2.%3.%4."/>
      <w:lvlJc w:val="left"/>
      <w:pPr>
        <w:ind w:left="3582" w:hanging="648"/>
      </w:pPr>
      <w:rPr>
        <w:rFonts w:hint="default"/>
      </w:rPr>
    </w:lvl>
    <w:lvl w:ilvl="4">
      <w:start w:val="1"/>
      <w:numFmt w:val="decimal"/>
      <w:lvlText w:val="%1.%2.%3.%4.%5."/>
      <w:lvlJc w:val="left"/>
      <w:pPr>
        <w:ind w:left="4086" w:hanging="792"/>
      </w:pPr>
      <w:rPr>
        <w:rFonts w:hint="default"/>
      </w:rPr>
    </w:lvl>
    <w:lvl w:ilvl="5">
      <w:start w:val="1"/>
      <w:numFmt w:val="decimal"/>
      <w:lvlText w:val="%1.%2.%3.%4.%5.%6."/>
      <w:lvlJc w:val="left"/>
      <w:pPr>
        <w:ind w:left="4590" w:hanging="936"/>
      </w:pPr>
      <w:rPr>
        <w:rFonts w:hint="default"/>
      </w:rPr>
    </w:lvl>
    <w:lvl w:ilvl="6">
      <w:start w:val="1"/>
      <w:numFmt w:val="decimal"/>
      <w:lvlText w:val="%1.%2.%3.%4.%5.%6.%7."/>
      <w:lvlJc w:val="left"/>
      <w:pPr>
        <w:ind w:left="5094" w:hanging="1080"/>
      </w:pPr>
      <w:rPr>
        <w:rFonts w:hint="default"/>
      </w:rPr>
    </w:lvl>
    <w:lvl w:ilvl="7">
      <w:start w:val="1"/>
      <w:numFmt w:val="decimal"/>
      <w:lvlText w:val="%1.%2.%3.%4.%5.%6.%7.%8."/>
      <w:lvlJc w:val="left"/>
      <w:pPr>
        <w:ind w:left="5598" w:hanging="1224"/>
      </w:pPr>
      <w:rPr>
        <w:rFonts w:hint="default"/>
      </w:rPr>
    </w:lvl>
    <w:lvl w:ilvl="8">
      <w:start w:val="1"/>
      <w:numFmt w:val="decimal"/>
      <w:lvlText w:val="%1.%2.%3.%4.%5.%6.%7.%8.%9."/>
      <w:lvlJc w:val="left"/>
      <w:pPr>
        <w:ind w:left="6174" w:hanging="1440"/>
      </w:pPr>
      <w:rPr>
        <w:rFonts w:hint="default"/>
      </w:rPr>
    </w:lvl>
  </w:abstractNum>
  <w:abstractNum w:abstractNumId="2" w15:restartNumberingAfterBreak="0">
    <w:nsid w:val="186F10FA"/>
    <w:multiLevelType w:val="multilevel"/>
    <w:tmpl w:val="31A05348"/>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C54700F"/>
    <w:multiLevelType w:val="hybridMultilevel"/>
    <w:tmpl w:val="7FE05B62"/>
    <w:lvl w:ilvl="0" w:tplc="2AF6A6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0DE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63B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16BC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0F1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C38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98F5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7E9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AE4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0F3EE5"/>
    <w:multiLevelType w:val="hybridMultilevel"/>
    <w:tmpl w:val="0C6E279E"/>
    <w:lvl w:ilvl="0" w:tplc="2D1AA9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A4F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C6DC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8CC7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243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7E18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2E7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806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5064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6B1AA7"/>
    <w:multiLevelType w:val="multilevel"/>
    <w:tmpl w:val="30DA9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BFE1590"/>
    <w:multiLevelType w:val="hybridMultilevel"/>
    <w:tmpl w:val="D952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3B6772"/>
    <w:multiLevelType w:val="multilevel"/>
    <w:tmpl w:val="7B4802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779"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1A461F1"/>
    <w:multiLevelType w:val="hybridMultilevel"/>
    <w:tmpl w:val="47B08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B0BD4"/>
    <w:multiLevelType w:val="hybridMultilevel"/>
    <w:tmpl w:val="E4CC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90DB9"/>
    <w:multiLevelType w:val="hybridMultilevel"/>
    <w:tmpl w:val="D05AAA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D101229"/>
    <w:multiLevelType w:val="multilevel"/>
    <w:tmpl w:val="C6727B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bullet"/>
      <w:lvlText w:val="o"/>
      <w:lvlJc w:val="left"/>
      <w:pPr>
        <w:tabs>
          <w:tab w:val="num" w:pos="1728"/>
        </w:tabs>
        <w:ind w:left="1728" w:hanging="648"/>
      </w:pPr>
      <w:rPr>
        <w:rFonts w:ascii="Courier New" w:hAnsi="Courier New" w:cs="Courier New"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10"/>
  </w:num>
  <w:num w:numId="3">
    <w:abstractNumId w:val="1"/>
  </w:num>
  <w:num w:numId="4">
    <w:abstractNumId w:val="2"/>
  </w:num>
  <w:num w:numId="5">
    <w:abstractNumId w:val="7"/>
  </w:num>
  <w:num w:numId="6">
    <w:abstractNumId w:val="0"/>
  </w:num>
  <w:num w:numId="7">
    <w:abstractNumId w:val="6"/>
  </w:num>
  <w:num w:numId="8">
    <w:abstractNumId w:val="8"/>
  </w:num>
  <w:num w:numId="9">
    <w:abstractNumId w:val="11"/>
  </w:num>
  <w:num w:numId="10">
    <w:abstractNumId w:val="9"/>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A5"/>
    <w:rsid w:val="00000B9A"/>
    <w:rsid w:val="00002905"/>
    <w:rsid w:val="000102FD"/>
    <w:rsid w:val="00010940"/>
    <w:rsid w:val="00011CE6"/>
    <w:rsid w:val="00021455"/>
    <w:rsid w:val="00021D88"/>
    <w:rsid w:val="000229CE"/>
    <w:rsid w:val="00031551"/>
    <w:rsid w:val="00033FA1"/>
    <w:rsid w:val="0003579E"/>
    <w:rsid w:val="000530B2"/>
    <w:rsid w:val="000544CC"/>
    <w:rsid w:val="00057664"/>
    <w:rsid w:val="00063779"/>
    <w:rsid w:val="00067062"/>
    <w:rsid w:val="00076B6C"/>
    <w:rsid w:val="00081833"/>
    <w:rsid w:val="0008678C"/>
    <w:rsid w:val="00093AC9"/>
    <w:rsid w:val="000A0155"/>
    <w:rsid w:val="000A3A2C"/>
    <w:rsid w:val="000B15BD"/>
    <w:rsid w:val="000B37F5"/>
    <w:rsid w:val="000B4A15"/>
    <w:rsid w:val="000C3027"/>
    <w:rsid w:val="000C563C"/>
    <w:rsid w:val="000C5E1E"/>
    <w:rsid w:val="000D6411"/>
    <w:rsid w:val="00102551"/>
    <w:rsid w:val="00105B48"/>
    <w:rsid w:val="00120049"/>
    <w:rsid w:val="00122FBC"/>
    <w:rsid w:val="001230DE"/>
    <w:rsid w:val="001269DB"/>
    <w:rsid w:val="0013494D"/>
    <w:rsid w:val="0013510C"/>
    <w:rsid w:val="00142F7C"/>
    <w:rsid w:val="00145728"/>
    <w:rsid w:val="001507E0"/>
    <w:rsid w:val="00150C4F"/>
    <w:rsid w:val="001515E9"/>
    <w:rsid w:val="00153A7C"/>
    <w:rsid w:val="00155AF5"/>
    <w:rsid w:val="001A5A9E"/>
    <w:rsid w:val="001A781D"/>
    <w:rsid w:val="001C29AE"/>
    <w:rsid w:val="001C4D03"/>
    <w:rsid w:val="001D4D49"/>
    <w:rsid w:val="001D7D14"/>
    <w:rsid w:val="001E3A85"/>
    <w:rsid w:val="001F3073"/>
    <w:rsid w:val="001F4FCD"/>
    <w:rsid w:val="001F75E7"/>
    <w:rsid w:val="002048A0"/>
    <w:rsid w:val="002123EA"/>
    <w:rsid w:val="00212EA7"/>
    <w:rsid w:val="002233DD"/>
    <w:rsid w:val="00224AFE"/>
    <w:rsid w:val="00226721"/>
    <w:rsid w:val="00232370"/>
    <w:rsid w:val="002373BB"/>
    <w:rsid w:val="0024242A"/>
    <w:rsid w:val="00243959"/>
    <w:rsid w:val="00247A63"/>
    <w:rsid w:val="00250679"/>
    <w:rsid w:val="00255F59"/>
    <w:rsid w:val="00264606"/>
    <w:rsid w:val="0026531D"/>
    <w:rsid w:val="002755D7"/>
    <w:rsid w:val="00280575"/>
    <w:rsid w:val="00283209"/>
    <w:rsid w:val="00287C2A"/>
    <w:rsid w:val="00297161"/>
    <w:rsid w:val="002A0FEB"/>
    <w:rsid w:val="002B7E01"/>
    <w:rsid w:val="002C057D"/>
    <w:rsid w:val="002C4893"/>
    <w:rsid w:val="002C4A3D"/>
    <w:rsid w:val="002C5251"/>
    <w:rsid w:val="002D259A"/>
    <w:rsid w:val="002D5E83"/>
    <w:rsid w:val="002E11AB"/>
    <w:rsid w:val="00302A5A"/>
    <w:rsid w:val="003130DB"/>
    <w:rsid w:val="00314848"/>
    <w:rsid w:val="00320503"/>
    <w:rsid w:val="00333857"/>
    <w:rsid w:val="00334A58"/>
    <w:rsid w:val="00351E84"/>
    <w:rsid w:val="00352CEC"/>
    <w:rsid w:val="0036570B"/>
    <w:rsid w:val="00371997"/>
    <w:rsid w:val="00375C2C"/>
    <w:rsid w:val="0037735C"/>
    <w:rsid w:val="003844E2"/>
    <w:rsid w:val="0038465E"/>
    <w:rsid w:val="00384A8A"/>
    <w:rsid w:val="00387AE4"/>
    <w:rsid w:val="00391B9D"/>
    <w:rsid w:val="003969BB"/>
    <w:rsid w:val="003A20B7"/>
    <w:rsid w:val="003A4647"/>
    <w:rsid w:val="003A722C"/>
    <w:rsid w:val="003B034F"/>
    <w:rsid w:val="003B5D96"/>
    <w:rsid w:val="003C4CB2"/>
    <w:rsid w:val="003C6130"/>
    <w:rsid w:val="003C63AE"/>
    <w:rsid w:val="003D5EA4"/>
    <w:rsid w:val="003D7377"/>
    <w:rsid w:val="003E00CB"/>
    <w:rsid w:val="003E7F24"/>
    <w:rsid w:val="003F2E70"/>
    <w:rsid w:val="00417518"/>
    <w:rsid w:val="00425BB7"/>
    <w:rsid w:val="00431C06"/>
    <w:rsid w:val="00431E41"/>
    <w:rsid w:val="0043459B"/>
    <w:rsid w:val="004346CB"/>
    <w:rsid w:val="00442C8E"/>
    <w:rsid w:val="004526D7"/>
    <w:rsid w:val="00454567"/>
    <w:rsid w:val="004671BF"/>
    <w:rsid w:val="004703D5"/>
    <w:rsid w:val="00472E8F"/>
    <w:rsid w:val="004822A0"/>
    <w:rsid w:val="00482650"/>
    <w:rsid w:val="004868A8"/>
    <w:rsid w:val="00490B12"/>
    <w:rsid w:val="0049192D"/>
    <w:rsid w:val="00491DB2"/>
    <w:rsid w:val="004926E2"/>
    <w:rsid w:val="00493BC7"/>
    <w:rsid w:val="004957D9"/>
    <w:rsid w:val="004962ED"/>
    <w:rsid w:val="004B3CD1"/>
    <w:rsid w:val="004B4479"/>
    <w:rsid w:val="004B5760"/>
    <w:rsid w:val="004D650C"/>
    <w:rsid w:val="004D7353"/>
    <w:rsid w:val="004E19E1"/>
    <w:rsid w:val="004E63FE"/>
    <w:rsid w:val="005009CD"/>
    <w:rsid w:val="00510425"/>
    <w:rsid w:val="00511187"/>
    <w:rsid w:val="00511D65"/>
    <w:rsid w:val="00514A3F"/>
    <w:rsid w:val="0051600B"/>
    <w:rsid w:val="00521CCC"/>
    <w:rsid w:val="0053106D"/>
    <w:rsid w:val="00533BAB"/>
    <w:rsid w:val="00534A54"/>
    <w:rsid w:val="00537090"/>
    <w:rsid w:val="00540E17"/>
    <w:rsid w:val="0054296D"/>
    <w:rsid w:val="005512C6"/>
    <w:rsid w:val="0055259F"/>
    <w:rsid w:val="00552F4D"/>
    <w:rsid w:val="005620C5"/>
    <w:rsid w:val="005654DC"/>
    <w:rsid w:val="00575E03"/>
    <w:rsid w:val="00577A17"/>
    <w:rsid w:val="005A0244"/>
    <w:rsid w:val="005B3983"/>
    <w:rsid w:val="005B4636"/>
    <w:rsid w:val="005C37DB"/>
    <w:rsid w:val="005D04DF"/>
    <w:rsid w:val="005D4EC6"/>
    <w:rsid w:val="005E3108"/>
    <w:rsid w:val="005E3687"/>
    <w:rsid w:val="005E6CC8"/>
    <w:rsid w:val="005F0F45"/>
    <w:rsid w:val="005F6D8F"/>
    <w:rsid w:val="005F7E9F"/>
    <w:rsid w:val="006121A9"/>
    <w:rsid w:val="006135AB"/>
    <w:rsid w:val="00620F6A"/>
    <w:rsid w:val="00633690"/>
    <w:rsid w:val="0064642E"/>
    <w:rsid w:val="006524A6"/>
    <w:rsid w:val="00663E69"/>
    <w:rsid w:val="00664AE4"/>
    <w:rsid w:val="00673EA5"/>
    <w:rsid w:val="006754F5"/>
    <w:rsid w:val="00683C31"/>
    <w:rsid w:val="00686DB7"/>
    <w:rsid w:val="006A5988"/>
    <w:rsid w:val="006D3862"/>
    <w:rsid w:val="006D3BAB"/>
    <w:rsid w:val="006D7394"/>
    <w:rsid w:val="006E56DD"/>
    <w:rsid w:val="006F56DA"/>
    <w:rsid w:val="006F757B"/>
    <w:rsid w:val="00702457"/>
    <w:rsid w:val="0070247A"/>
    <w:rsid w:val="007028EC"/>
    <w:rsid w:val="00703909"/>
    <w:rsid w:val="00710CB8"/>
    <w:rsid w:val="00715713"/>
    <w:rsid w:val="007175E6"/>
    <w:rsid w:val="007232E2"/>
    <w:rsid w:val="00727C86"/>
    <w:rsid w:val="00730A21"/>
    <w:rsid w:val="007363A3"/>
    <w:rsid w:val="007418D3"/>
    <w:rsid w:val="007464D1"/>
    <w:rsid w:val="00747C51"/>
    <w:rsid w:val="0075268C"/>
    <w:rsid w:val="007728A6"/>
    <w:rsid w:val="00785ABA"/>
    <w:rsid w:val="00787AFC"/>
    <w:rsid w:val="00791E09"/>
    <w:rsid w:val="007928E6"/>
    <w:rsid w:val="00795EB2"/>
    <w:rsid w:val="007972C6"/>
    <w:rsid w:val="007A21BC"/>
    <w:rsid w:val="007A2661"/>
    <w:rsid w:val="007D129D"/>
    <w:rsid w:val="007D76C0"/>
    <w:rsid w:val="007F3758"/>
    <w:rsid w:val="007F4D92"/>
    <w:rsid w:val="0081096E"/>
    <w:rsid w:val="0082603C"/>
    <w:rsid w:val="008279C1"/>
    <w:rsid w:val="00845B58"/>
    <w:rsid w:val="008478FD"/>
    <w:rsid w:val="00851222"/>
    <w:rsid w:val="00857D46"/>
    <w:rsid w:val="008615ED"/>
    <w:rsid w:val="00873B3C"/>
    <w:rsid w:val="00875E2D"/>
    <w:rsid w:val="00881A6D"/>
    <w:rsid w:val="00883850"/>
    <w:rsid w:val="00883E29"/>
    <w:rsid w:val="00883FA7"/>
    <w:rsid w:val="00884AF4"/>
    <w:rsid w:val="00890F18"/>
    <w:rsid w:val="008949CB"/>
    <w:rsid w:val="008A25D4"/>
    <w:rsid w:val="008B07B3"/>
    <w:rsid w:val="008B555F"/>
    <w:rsid w:val="008C1101"/>
    <w:rsid w:val="008E20CD"/>
    <w:rsid w:val="008E426B"/>
    <w:rsid w:val="008F20D1"/>
    <w:rsid w:val="008F65D5"/>
    <w:rsid w:val="00904467"/>
    <w:rsid w:val="00921DEF"/>
    <w:rsid w:val="009261BD"/>
    <w:rsid w:val="00932C79"/>
    <w:rsid w:val="00947E25"/>
    <w:rsid w:val="00960322"/>
    <w:rsid w:val="00961EA8"/>
    <w:rsid w:val="0096758F"/>
    <w:rsid w:val="00971112"/>
    <w:rsid w:val="009776C4"/>
    <w:rsid w:val="00982FED"/>
    <w:rsid w:val="00991600"/>
    <w:rsid w:val="009A493F"/>
    <w:rsid w:val="009C2456"/>
    <w:rsid w:val="009C46E5"/>
    <w:rsid w:val="009C6AA1"/>
    <w:rsid w:val="009C7CD7"/>
    <w:rsid w:val="009D0545"/>
    <w:rsid w:val="009E426F"/>
    <w:rsid w:val="009F5DD8"/>
    <w:rsid w:val="00A2119E"/>
    <w:rsid w:val="00A33D21"/>
    <w:rsid w:val="00A34AC2"/>
    <w:rsid w:val="00A36DCF"/>
    <w:rsid w:val="00A43F86"/>
    <w:rsid w:val="00A4505A"/>
    <w:rsid w:val="00A50020"/>
    <w:rsid w:val="00A52915"/>
    <w:rsid w:val="00A6798F"/>
    <w:rsid w:val="00A737E9"/>
    <w:rsid w:val="00A74D9C"/>
    <w:rsid w:val="00A75BAB"/>
    <w:rsid w:val="00A8058E"/>
    <w:rsid w:val="00A9309B"/>
    <w:rsid w:val="00A93F49"/>
    <w:rsid w:val="00A97124"/>
    <w:rsid w:val="00A97826"/>
    <w:rsid w:val="00AA30F0"/>
    <w:rsid w:val="00AB0ED9"/>
    <w:rsid w:val="00AB40AF"/>
    <w:rsid w:val="00AB56DD"/>
    <w:rsid w:val="00AC1C2E"/>
    <w:rsid w:val="00AC568B"/>
    <w:rsid w:val="00AD546D"/>
    <w:rsid w:val="00AD707A"/>
    <w:rsid w:val="00AF4CF3"/>
    <w:rsid w:val="00AF7C25"/>
    <w:rsid w:val="00B034C6"/>
    <w:rsid w:val="00B12CAF"/>
    <w:rsid w:val="00B13B54"/>
    <w:rsid w:val="00B16447"/>
    <w:rsid w:val="00B215B3"/>
    <w:rsid w:val="00B33687"/>
    <w:rsid w:val="00B3632C"/>
    <w:rsid w:val="00B44E0C"/>
    <w:rsid w:val="00B50C69"/>
    <w:rsid w:val="00B50FA9"/>
    <w:rsid w:val="00B61CD8"/>
    <w:rsid w:val="00B654A5"/>
    <w:rsid w:val="00B6692D"/>
    <w:rsid w:val="00B6744C"/>
    <w:rsid w:val="00B72AF9"/>
    <w:rsid w:val="00B86445"/>
    <w:rsid w:val="00B92A9D"/>
    <w:rsid w:val="00BA1D7F"/>
    <w:rsid w:val="00BA345A"/>
    <w:rsid w:val="00BC1FC6"/>
    <w:rsid w:val="00BC2F49"/>
    <w:rsid w:val="00BC3BCA"/>
    <w:rsid w:val="00BC73EE"/>
    <w:rsid w:val="00BE168A"/>
    <w:rsid w:val="00BF4DD0"/>
    <w:rsid w:val="00BF7D6D"/>
    <w:rsid w:val="00BF7E30"/>
    <w:rsid w:val="00C02CEA"/>
    <w:rsid w:val="00C04F13"/>
    <w:rsid w:val="00C127F2"/>
    <w:rsid w:val="00C132A8"/>
    <w:rsid w:val="00C27C8E"/>
    <w:rsid w:val="00C37D11"/>
    <w:rsid w:val="00C54112"/>
    <w:rsid w:val="00C5419B"/>
    <w:rsid w:val="00C55913"/>
    <w:rsid w:val="00C57703"/>
    <w:rsid w:val="00C61495"/>
    <w:rsid w:val="00C64057"/>
    <w:rsid w:val="00C71217"/>
    <w:rsid w:val="00C7179A"/>
    <w:rsid w:val="00C7430F"/>
    <w:rsid w:val="00C75CC5"/>
    <w:rsid w:val="00C85021"/>
    <w:rsid w:val="00C85FF4"/>
    <w:rsid w:val="00C9401E"/>
    <w:rsid w:val="00C9482F"/>
    <w:rsid w:val="00C975F4"/>
    <w:rsid w:val="00CA2722"/>
    <w:rsid w:val="00CA58C8"/>
    <w:rsid w:val="00CB1AD6"/>
    <w:rsid w:val="00CB264C"/>
    <w:rsid w:val="00CC148B"/>
    <w:rsid w:val="00CD3964"/>
    <w:rsid w:val="00CD57FD"/>
    <w:rsid w:val="00CD5A94"/>
    <w:rsid w:val="00CE168A"/>
    <w:rsid w:val="00CF70CD"/>
    <w:rsid w:val="00D01141"/>
    <w:rsid w:val="00D06BD4"/>
    <w:rsid w:val="00D116E4"/>
    <w:rsid w:val="00D32A30"/>
    <w:rsid w:val="00D34D8D"/>
    <w:rsid w:val="00D41EEC"/>
    <w:rsid w:val="00D440B9"/>
    <w:rsid w:val="00D46F95"/>
    <w:rsid w:val="00D602E3"/>
    <w:rsid w:val="00D6194A"/>
    <w:rsid w:val="00D7497E"/>
    <w:rsid w:val="00D77464"/>
    <w:rsid w:val="00D86425"/>
    <w:rsid w:val="00D872D3"/>
    <w:rsid w:val="00D960EF"/>
    <w:rsid w:val="00DA1CF3"/>
    <w:rsid w:val="00DA2475"/>
    <w:rsid w:val="00DA3152"/>
    <w:rsid w:val="00DC30B5"/>
    <w:rsid w:val="00DC5AFA"/>
    <w:rsid w:val="00DD0C86"/>
    <w:rsid w:val="00DD156F"/>
    <w:rsid w:val="00DE0F93"/>
    <w:rsid w:val="00DE11F0"/>
    <w:rsid w:val="00DF3A2E"/>
    <w:rsid w:val="00E04986"/>
    <w:rsid w:val="00E078E1"/>
    <w:rsid w:val="00E15D56"/>
    <w:rsid w:val="00E200D2"/>
    <w:rsid w:val="00E21B11"/>
    <w:rsid w:val="00E33ACE"/>
    <w:rsid w:val="00E36236"/>
    <w:rsid w:val="00E42353"/>
    <w:rsid w:val="00E434CB"/>
    <w:rsid w:val="00E45ED3"/>
    <w:rsid w:val="00E47C0B"/>
    <w:rsid w:val="00E511BA"/>
    <w:rsid w:val="00E54599"/>
    <w:rsid w:val="00E579C9"/>
    <w:rsid w:val="00E67EA3"/>
    <w:rsid w:val="00E773F0"/>
    <w:rsid w:val="00E86117"/>
    <w:rsid w:val="00E861BB"/>
    <w:rsid w:val="00E90220"/>
    <w:rsid w:val="00E91355"/>
    <w:rsid w:val="00E92E90"/>
    <w:rsid w:val="00EA17C9"/>
    <w:rsid w:val="00EA5E40"/>
    <w:rsid w:val="00EA6673"/>
    <w:rsid w:val="00EB1333"/>
    <w:rsid w:val="00EB1341"/>
    <w:rsid w:val="00EB2C39"/>
    <w:rsid w:val="00EB6DE4"/>
    <w:rsid w:val="00EC2248"/>
    <w:rsid w:val="00EC6A53"/>
    <w:rsid w:val="00ED4C8E"/>
    <w:rsid w:val="00ED6557"/>
    <w:rsid w:val="00EE631F"/>
    <w:rsid w:val="00F14F08"/>
    <w:rsid w:val="00F15158"/>
    <w:rsid w:val="00F227D0"/>
    <w:rsid w:val="00F23850"/>
    <w:rsid w:val="00F274C0"/>
    <w:rsid w:val="00F33FA3"/>
    <w:rsid w:val="00F35194"/>
    <w:rsid w:val="00F35426"/>
    <w:rsid w:val="00F40ABC"/>
    <w:rsid w:val="00F44321"/>
    <w:rsid w:val="00F52515"/>
    <w:rsid w:val="00F57989"/>
    <w:rsid w:val="00F617B4"/>
    <w:rsid w:val="00F6254D"/>
    <w:rsid w:val="00F67795"/>
    <w:rsid w:val="00F75C85"/>
    <w:rsid w:val="00F76312"/>
    <w:rsid w:val="00F81337"/>
    <w:rsid w:val="00F935A9"/>
    <w:rsid w:val="00FA748F"/>
    <w:rsid w:val="00FC0731"/>
    <w:rsid w:val="00FC1E9D"/>
    <w:rsid w:val="00FC2BD0"/>
    <w:rsid w:val="00FD1BA1"/>
    <w:rsid w:val="00FD6D5C"/>
    <w:rsid w:val="00FE237C"/>
    <w:rsid w:val="00FF0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82B6C9F4-80CF-4810-827F-0999A41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5913"/>
    <w:pPr>
      <w:ind w:left="794" w:hanging="794"/>
    </w:pPr>
    <w:rPr>
      <w:sz w:val="24"/>
      <w:szCs w:val="24"/>
    </w:rPr>
  </w:style>
  <w:style w:type="paragraph" w:styleId="Heading1">
    <w:name w:val="heading 1"/>
    <w:next w:val="Normal"/>
    <w:link w:val="Heading1Char"/>
    <w:uiPriority w:val="9"/>
    <w:unhideWhenUsed/>
    <w:qFormat/>
    <w:rsid w:val="008478FD"/>
    <w:pPr>
      <w:keepNext/>
      <w:keepLines/>
      <w:spacing w:line="259" w:lineRule="auto"/>
      <w:ind w:left="231" w:hanging="10"/>
      <w:jc w:val="center"/>
      <w:outlineLvl w:val="0"/>
    </w:pPr>
    <w:rPr>
      <w:rFonts w:ascii="Arial"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EA5"/>
    <w:pPr>
      <w:tabs>
        <w:tab w:val="center" w:pos="4153"/>
        <w:tab w:val="right" w:pos="8306"/>
      </w:tabs>
    </w:pPr>
  </w:style>
  <w:style w:type="paragraph" w:styleId="Footer">
    <w:name w:val="footer"/>
    <w:basedOn w:val="Normal"/>
    <w:link w:val="FooterChar"/>
    <w:uiPriority w:val="99"/>
    <w:rsid w:val="00673EA5"/>
    <w:pPr>
      <w:tabs>
        <w:tab w:val="center" w:pos="4153"/>
        <w:tab w:val="right" w:pos="8306"/>
      </w:tabs>
    </w:pPr>
  </w:style>
  <w:style w:type="character" w:customStyle="1" w:styleId="FooterChar">
    <w:name w:val="Footer Char"/>
    <w:link w:val="Footer"/>
    <w:uiPriority w:val="99"/>
    <w:rsid w:val="00857D46"/>
    <w:rPr>
      <w:sz w:val="24"/>
      <w:szCs w:val="24"/>
    </w:rPr>
  </w:style>
  <w:style w:type="paragraph" w:styleId="BalloonText">
    <w:name w:val="Balloon Text"/>
    <w:basedOn w:val="Normal"/>
    <w:link w:val="BalloonTextChar"/>
    <w:rsid w:val="00BF7E30"/>
    <w:rPr>
      <w:rFonts w:ascii="Tahoma" w:hAnsi="Tahoma"/>
      <w:sz w:val="16"/>
      <w:szCs w:val="16"/>
    </w:rPr>
  </w:style>
  <w:style w:type="character" w:customStyle="1" w:styleId="BalloonTextChar">
    <w:name w:val="Balloon Text Char"/>
    <w:link w:val="BalloonText"/>
    <w:rsid w:val="00BF7E30"/>
    <w:rPr>
      <w:rFonts w:ascii="Tahoma" w:hAnsi="Tahoma" w:cs="Tahoma"/>
      <w:sz w:val="16"/>
      <w:szCs w:val="16"/>
    </w:rPr>
  </w:style>
  <w:style w:type="paragraph" w:styleId="ListParagraph">
    <w:name w:val="List Paragraph"/>
    <w:basedOn w:val="Normal"/>
    <w:uiPriority w:val="34"/>
    <w:qFormat/>
    <w:rsid w:val="007418D3"/>
    <w:pPr>
      <w:ind w:left="720"/>
    </w:pPr>
  </w:style>
  <w:style w:type="character" w:styleId="Hyperlink">
    <w:name w:val="Hyperlink"/>
    <w:rsid w:val="00243959"/>
    <w:rPr>
      <w:color w:val="0000FF"/>
      <w:u w:val="single"/>
    </w:rPr>
  </w:style>
  <w:style w:type="character" w:styleId="CommentReference">
    <w:name w:val="annotation reference"/>
    <w:rsid w:val="005D4EC6"/>
    <w:rPr>
      <w:sz w:val="16"/>
      <w:szCs w:val="16"/>
    </w:rPr>
  </w:style>
  <w:style w:type="paragraph" w:styleId="CommentText">
    <w:name w:val="annotation text"/>
    <w:basedOn w:val="Normal"/>
    <w:link w:val="CommentTextChar"/>
    <w:rsid w:val="005D4EC6"/>
    <w:rPr>
      <w:sz w:val="20"/>
      <w:szCs w:val="20"/>
    </w:rPr>
  </w:style>
  <w:style w:type="character" w:customStyle="1" w:styleId="CommentTextChar">
    <w:name w:val="Comment Text Char"/>
    <w:basedOn w:val="DefaultParagraphFont"/>
    <w:link w:val="CommentText"/>
    <w:rsid w:val="005D4EC6"/>
  </w:style>
  <w:style w:type="paragraph" w:styleId="CommentSubject">
    <w:name w:val="annotation subject"/>
    <w:basedOn w:val="CommentText"/>
    <w:next w:val="CommentText"/>
    <w:link w:val="CommentSubjectChar"/>
    <w:rsid w:val="005D4EC6"/>
    <w:rPr>
      <w:b/>
      <w:bCs/>
    </w:rPr>
  </w:style>
  <w:style w:type="character" w:customStyle="1" w:styleId="CommentSubjectChar">
    <w:name w:val="Comment Subject Char"/>
    <w:link w:val="CommentSubject"/>
    <w:rsid w:val="005D4EC6"/>
    <w:rPr>
      <w:b/>
      <w:bCs/>
    </w:rPr>
  </w:style>
  <w:style w:type="character" w:customStyle="1" w:styleId="Heading1Char">
    <w:name w:val="Heading 1 Char"/>
    <w:basedOn w:val="DefaultParagraphFont"/>
    <w:link w:val="Heading1"/>
    <w:rsid w:val="008478FD"/>
    <w:rPr>
      <w:rFonts w:ascii="Arial" w:eastAsia="Arial" w:hAnsi="Arial" w:cs="Arial"/>
      <w:b/>
      <w:color w:val="000000"/>
      <w:sz w:val="24"/>
      <w:szCs w:val="22"/>
    </w:rPr>
  </w:style>
  <w:style w:type="table" w:customStyle="1" w:styleId="TableGrid">
    <w:name w:val="TableGrid"/>
    <w:rsid w:val="00E434C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868A8"/>
    <w:pPr>
      <w:autoSpaceDE w:val="0"/>
      <w:autoSpaceDN w:val="0"/>
      <w:adjustRightInd w:val="0"/>
    </w:pPr>
    <w:rPr>
      <w:rFonts w:ascii="Arial" w:eastAsiaTheme="minorHAnsi" w:hAnsi="Arial" w:cs="Arial"/>
      <w:color w:val="000000"/>
      <w:sz w:val="24"/>
      <w:szCs w:val="24"/>
      <w:lang w:eastAsia="en-US"/>
    </w:rPr>
  </w:style>
  <w:style w:type="table" w:styleId="TableGrid0">
    <w:name w:val="Table Grid"/>
    <w:basedOn w:val="TableNormal"/>
    <w:rsid w:val="006F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6F75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rsid w:val="0064642E"/>
    <w:rPr>
      <w:sz w:val="20"/>
      <w:szCs w:val="20"/>
    </w:rPr>
  </w:style>
  <w:style w:type="character" w:customStyle="1" w:styleId="FootnoteTextChar">
    <w:name w:val="Footnote Text Char"/>
    <w:basedOn w:val="DefaultParagraphFont"/>
    <w:link w:val="FootnoteText"/>
    <w:rsid w:val="0064642E"/>
  </w:style>
  <w:style w:type="character" w:styleId="FootnoteReference">
    <w:name w:val="footnote reference"/>
    <w:basedOn w:val="DefaultParagraphFont"/>
    <w:rsid w:val="0064642E"/>
    <w:rPr>
      <w:vertAlign w:val="superscript"/>
    </w:rPr>
  </w:style>
  <w:style w:type="character" w:customStyle="1" w:styleId="UnresolvedMention1">
    <w:name w:val="Unresolved Mention1"/>
    <w:basedOn w:val="DefaultParagraphFont"/>
    <w:uiPriority w:val="99"/>
    <w:semiHidden/>
    <w:unhideWhenUsed/>
    <w:rsid w:val="00F4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yorkshire-pcc.gov.uk/police-oversight/governance/jia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6BD0-C877-41F7-8B7E-841BB329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42E9D905</Template>
  <TotalTime>0</TotalTime>
  <Pages>1</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JOINT INDEPENDENT AUDIT COMMITTEE</vt:lpstr>
    </vt:vector>
  </TitlesOfParts>
  <Company>North Yorkshire Police</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INDEPENDENT AUDIT COMMITTEE</dc:title>
  <dc:subject/>
  <dc:creator>005812</dc:creator>
  <cp:keywords/>
  <cp:lastModifiedBy>Carter, Alexandra</cp:lastModifiedBy>
  <cp:revision>1</cp:revision>
  <cp:lastPrinted>2018-06-18T18:02:00Z</cp:lastPrinted>
  <dcterms:created xsi:type="dcterms:W3CDTF">2018-12-14T10:35:00Z</dcterms:created>
  <dcterms:modified xsi:type="dcterms:W3CDTF">2018-12-14T10:35:00Z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287137cd-8389-451a-9f4e-2dc9b76db0bf</vt:lpwstr>
  </property>
  <property fmtid="{D5CDD505-2E9C-101B-9397-08002B2CF9AE}" pid="3" name="NORTH YORKSHIRE POLICEClassification">
    <vt:lpwstr>NOT PROTECTIVELY MARKED</vt:lpwstr>
  </property>
  <property fmtid="{D5CDD505-2E9C-101B-9397-08002B2CF9AE}" pid="4" name="NORTH YORKSHIRE POLICEVisual Markings">
    <vt:lpwstr>Yes</vt:lpwstr>
  </property>
  <property fmtid="{D5CDD505-2E9C-101B-9397-08002B2CF9AE}" pid="5" name="Classification">
    <vt:lpwstr>OFFICIAL</vt:lpwstr>
  </property>
</Properties>
</file>