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1843" w14:textId="2284413E" w:rsidR="00964DF6" w:rsidRPr="00F2323F" w:rsidRDefault="00964DF6" w:rsidP="003C4C0F">
      <w:pPr>
        <w:spacing w:line="240" w:lineRule="auto"/>
        <w:jc w:val="center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LOCAL PENSION BOARD</w:t>
      </w:r>
    </w:p>
    <w:p w14:paraId="72ED4240" w14:textId="76108095" w:rsidR="00964DF6" w:rsidRPr="00F2323F" w:rsidRDefault="00964DF6" w:rsidP="00F42E8C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  <w:u w:val="single"/>
        </w:rPr>
        <w:t>Report of the Pensions Administrator / Manager</w:t>
      </w:r>
    </w:p>
    <w:p w14:paraId="701088D9" w14:textId="5DD3487A" w:rsidR="00964DF6" w:rsidRPr="00F2323F" w:rsidRDefault="00006D97" w:rsidP="00F42E8C">
      <w:pPr>
        <w:spacing w:line="240" w:lineRule="auto"/>
        <w:jc w:val="center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1</w:t>
      </w:r>
      <w:r w:rsidR="006064F5">
        <w:rPr>
          <w:rFonts w:ascii="Arial" w:hAnsi="Arial" w:cs="Arial"/>
          <w:b/>
        </w:rPr>
        <w:t>7</w:t>
      </w:r>
      <w:r w:rsidRPr="00F2323F">
        <w:rPr>
          <w:rFonts w:ascii="Arial" w:hAnsi="Arial" w:cs="Arial"/>
          <w:b/>
        </w:rPr>
        <w:t xml:space="preserve"> June</w:t>
      </w:r>
      <w:r w:rsidR="00CA59F9" w:rsidRPr="00F2323F">
        <w:rPr>
          <w:rFonts w:ascii="Arial" w:hAnsi="Arial" w:cs="Arial"/>
          <w:b/>
        </w:rPr>
        <w:t xml:space="preserve"> 2020</w:t>
      </w:r>
    </w:p>
    <w:p w14:paraId="455EE95D" w14:textId="77777777" w:rsidR="00964DF6" w:rsidRPr="00F2323F" w:rsidRDefault="00964DF6" w:rsidP="00525003">
      <w:pPr>
        <w:spacing w:line="240" w:lineRule="auto"/>
        <w:jc w:val="center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PENSIONS UPDATE</w:t>
      </w:r>
    </w:p>
    <w:p w14:paraId="652B6A6D" w14:textId="77777777" w:rsidR="00964DF6" w:rsidRPr="00F2323F" w:rsidRDefault="00964DF6" w:rsidP="00525003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73802" wp14:editId="1D5AB40E">
                <wp:simplePos x="0" y="0"/>
                <wp:positionH relativeFrom="column">
                  <wp:posOffset>-152400</wp:posOffset>
                </wp:positionH>
                <wp:positionV relativeFrom="paragraph">
                  <wp:posOffset>106680</wp:posOffset>
                </wp:positionV>
                <wp:extent cx="6248400" cy="819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14CE" w14:textId="77777777" w:rsidR="007F0FEE" w:rsidRPr="00964DF6" w:rsidRDefault="007F0FEE" w:rsidP="00B277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64DF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Purpose of Report</w:t>
                            </w:r>
                          </w:p>
                          <w:p w14:paraId="3FE6E1ED" w14:textId="77777777" w:rsidR="007F0FEE" w:rsidRPr="00120475" w:rsidRDefault="007F0FEE" w:rsidP="00964DF6">
                            <w:pPr>
                              <w:ind w:left="720" w:hanging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To provide M</w:t>
                            </w:r>
                            <w:r w:rsidRPr="00120475">
                              <w:rPr>
                                <w:rFonts w:ascii="Arial" w:hAnsi="Arial" w:cs="Arial"/>
                              </w:rPr>
                              <w:t>ember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120475">
                              <w:rPr>
                                <w:rFonts w:ascii="Arial" w:hAnsi="Arial" w:cs="Arial"/>
                              </w:rPr>
                              <w:t xml:space="preserve"> with information on scheme membership</w:t>
                            </w:r>
                            <w:r w:rsidRPr="008A3DB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 scheme changes as well as training,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governance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and communication issues.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738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8.4pt;width:49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" fillcolor="#bfbfbf [2412]" strokeweight=".5pt">
                <v:textbox>
                  <w:txbxContent>
                    <w:p w14:paraId="14EC14CE" w14:textId="77777777" w:rsidR="007F0FEE" w:rsidRPr="00964DF6" w:rsidRDefault="007F0FEE" w:rsidP="00B277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64DF6">
                        <w:rPr>
                          <w:rFonts w:ascii="Arial" w:hAnsi="Arial" w:cs="Arial"/>
                          <w:b/>
                          <w:u w:val="single"/>
                        </w:rPr>
                        <w:t>Purpose of Report</w:t>
                      </w:r>
                    </w:p>
                    <w:p w14:paraId="3FE6E1ED" w14:textId="77777777" w:rsidR="007F0FEE" w:rsidRPr="00120475" w:rsidRDefault="007F0FEE" w:rsidP="00964DF6">
                      <w:pPr>
                        <w:ind w:left="720" w:hanging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1.1</w:t>
                      </w:r>
                      <w:r>
                        <w:rPr>
                          <w:rFonts w:ascii="Arial" w:hAnsi="Arial" w:cs="Arial"/>
                        </w:rPr>
                        <w:tab/>
                        <w:t>To provide M</w:t>
                      </w:r>
                      <w:r w:rsidRPr="00120475">
                        <w:rPr>
                          <w:rFonts w:ascii="Arial" w:hAnsi="Arial" w:cs="Arial"/>
                        </w:rPr>
                        <w:t>ember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120475">
                        <w:rPr>
                          <w:rFonts w:ascii="Arial" w:hAnsi="Arial" w:cs="Arial"/>
                        </w:rPr>
                        <w:t xml:space="preserve"> with information on scheme membership</w:t>
                      </w:r>
                      <w:r w:rsidRPr="008A3DBD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and scheme changes as well as training,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governance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and communication issues. </w:t>
                      </w:r>
                    </w:p>
                  </w:txbxContent>
                </v:textbox>
              </v:shape>
            </w:pict>
          </mc:Fallback>
        </mc:AlternateContent>
      </w:r>
    </w:p>
    <w:p w14:paraId="4D9EC90A" w14:textId="77777777" w:rsidR="00964DF6" w:rsidRPr="00F2323F" w:rsidRDefault="00964DF6" w:rsidP="00525003">
      <w:pP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5F935E9F" w14:textId="77777777" w:rsidR="00964DF6" w:rsidRPr="00F2323F" w:rsidRDefault="00964DF6" w:rsidP="000217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65BA67F" w14:textId="0CDE5175" w:rsidR="00576D8A" w:rsidRDefault="00576D8A" w:rsidP="000217A2">
      <w:pPr>
        <w:spacing w:after="0" w:line="240" w:lineRule="auto"/>
        <w:jc w:val="both"/>
        <w:rPr>
          <w:rFonts w:ascii="Arial" w:hAnsi="Arial" w:cs="Arial"/>
          <w:b/>
        </w:rPr>
      </w:pPr>
    </w:p>
    <w:p w14:paraId="47E7B7BE" w14:textId="15445FCD" w:rsidR="000217A2" w:rsidRDefault="000217A2" w:rsidP="000217A2">
      <w:pPr>
        <w:spacing w:after="0" w:line="240" w:lineRule="auto"/>
        <w:jc w:val="both"/>
        <w:rPr>
          <w:rFonts w:ascii="Arial" w:hAnsi="Arial" w:cs="Arial"/>
          <w:b/>
        </w:rPr>
      </w:pPr>
    </w:p>
    <w:p w14:paraId="7B1BED12" w14:textId="77777777" w:rsidR="000217A2" w:rsidRPr="00F2323F" w:rsidRDefault="000217A2" w:rsidP="000217A2">
      <w:pPr>
        <w:spacing w:after="0" w:line="240" w:lineRule="auto"/>
        <w:jc w:val="both"/>
        <w:rPr>
          <w:rFonts w:ascii="Arial" w:hAnsi="Arial" w:cs="Arial"/>
          <w:b/>
        </w:rPr>
      </w:pPr>
    </w:p>
    <w:p w14:paraId="1235CCD7" w14:textId="64AECA82" w:rsidR="00120475" w:rsidRDefault="00120475" w:rsidP="000217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</w:rPr>
        <w:t>2.0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  <w:u w:val="single"/>
        </w:rPr>
        <w:t>Introduction</w:t>
      </w:r>
    </w:p>
    <w:p w14:paraId="209BD244" w14:textId="77777777" w:rsidR="00000399" w:rsidRPr="00F2323F" w:rsidRDefault="00000399" w:rsidP="000217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ECD9E2D" w14:textId="10C0DC88" w:rsidR="00120475" w:rsidRDefault="00120475" w:rsidP="000217A2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2.1</w:t>
      </w:r>
      <w:r w:rsidRPr="00F2323F">
        <w:rPr>
          <w:rFonts w:ascii="Arial" w:hAnsi="Arial" w:cs="Arial"/>
        </w:rPr>
        <w:tab/>
        <w:t>Th</w:t>
      </w:r>
      <w:r w:rsidR="00E314CE" w:rsidRPr="00F2323F">
        <w:rPr>
          <w:rFonts w:ascii="Arial" w:hAnsi="Arial" w:cs="Arial"/>
        </w:rPr>
        <w:t>is</w:t>
      </w:r>
      <w:r w:rsidRPr="00F2323F">
        <w:rPr>
          <w:rFonts w:ascii="Arial" w:hAnsi="Arial" w:cs="Arial"/>
        </w:rPr>
        <w:t xml:space="preserve"> report provides Members with scheme information, together with updates on current issues and training. </w:t>
      </w:r>
    </w:p>
    <w:p w14:paraId="51D8FFE8" w14:textId="77777777" w:rsidR="000217A2" w:rsidRDefault="000217A2" w:rsidP="000217A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8EAD046" w14:textId="77777777" w:rsidR="00E16DCB" w:rsidRPr="00F2323F" w:rsidRDefault="00E16DCB" w:rsidP="000217A2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BD5E6B5" w14:textId="14DE49E8" w:rsidR="00DC2320" w:rsidRDefault="00964DF6" w:rsidP="000217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</w:rPr>
        <w:t>3.0</w:t>
      </w:r>
      <w:r w:rsidRPr="00F2323F">
        <w:rPr>
          <w:rFonts w:ascii="Arial" w:hAnsi="Arial" w:cs="Arial"/>
          <w:b/>
        </w:rPr>
        <w:tab/>
      </w:r>
      <w:r w:rsidR="00DC2320" w:rsidRPr="00F2323F">
        <w:rPr>
          <w:rFonts w:ascii="Arial" w:hAnsi="Arial" w:cs="Arial"/>
          <w:b/>
          <w:u w:val="single"/>
        </w:rPr>
        <w:t>Scheme Membership Information</w:t>
      </w:r>
    </w:p>
    <w:p w14:paraId="2EC5FC89" w14:textId="77777777" w:rsidR="00000399" w:rsidRPr="00F2323F" w:rsidRDefault="00000399" w:rsidP="000217A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800977A" w14:textId="4D8AF0C7" w:rsidR="00DC2320" w:rsidRPr="00F2323F" w:rsidRDefault="00120475" w:rsidP="00525003">
      <w:pPr>
        <w:shd w:val="clear" w:color="auto" w:fill="FFFFFF" w:themeFill="background1"/>
        <w:spacing w:line="240" w:lineRule="auto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3.1</w:t>
      </w:r>
      <w:r w:rsidRPr="00F2323F">
        <w:rPr>
          <w:rFonts w:ascii="Arial" w:hAnsi="Arial" w:cs="Arial"/>
        </w:rPr>
        <w:tab/>
      </w:r>
      <w:r w:rsidR="00DC2320" w:rsidRPr="00F2323F">
        <w:rPr>
          <w:rFonts w:ascii="Arial" w:hAnsi="Arial" w:cs="Arial"/>
        </w:rPr>
        <w:t>The following active memberships of the firefighters’ pension schemes are taken from pay data as at</w:t>
      </w:r>
      <w:r w:rsidR="0022720C" w:rsidRPr="00F2323F">
        <w:rPr>
          <w:rFonts w:ascii="Arial" w:hAnsi="Arial" w:cs="Arial"/>
        </w:rPr>
        <w:t xml:space="preserve"> </w:t>
      </w:r>
      <w:r w:rsidR="00F14DA0" w:rsidRPr="00F2323F">
        <w:rPr>
          <w:rFonts w:ascii="Arial" w:hAnsi="Arial" w:cs="Arial"/>
        </w:rPr>
        <w:t xml:space="preserve">5 June </w:t>
      </w:r>
      <w:r w:rsidR="0009350E" w:rsidRPr="00F2323F">
        <w:rPr>
          <w:rFonts w:ascii="Arial" w:hAnsi="Arial" w:cs="Arial"/>
        </w:rPr>
        <w:t>2020</w:t>
      </w:r>
      <w:r w:rsidR="00767367" w:rsidRPr="00F2323F">
        <w:rPr>
          <w:rFonts w:ascii="Arial" w:hAnsi="Arial" w:cs="Arial"/>
        </w:rPr>
        <w:t xml:space="preserve"> </w:t>
      </w:r>
      <w:r w:rsidR="001A6E55" w:rsidRPr="00F2323F">
        <w:rPr>
          <w:rFonts w:ascii="Arial" w:hAnsi="Arial" w:cs="Arial"/>
        </w:rPr>
        <w:t xml:space="preserve">(for </w:t>
      </w:r>
      <w:r w:rsidR="004E2315" w:rsidRPr="00F2323F">
        <w:rPr>
          <w:rFonts w:ascii="Arial" w:hAnsi="Arial" w:cs="Arial"/>
        </w:rPr>
        <w:t>Whole</w:t>
      </w:r>
      <w:r w:rsidR="00BA01E1" w:rsidRPr="00F2323F">
        <w:rPr>
          <w:rFonts w:ascii="Arial" w:hAnsi="Arial" w:cs="Arial"/>
        </w:rPr>
        <w:t>t</w:t>
      </w:r>
      <w:r w:rsidR="004E2315" w:rsidRPr="00F2323F">
        <w:rPr>
          <w:rFonts w:ascii="Arial" w:hAnsi="Arial" w:cs="Arial"/>
        </w:rPr>
        <w:t>ime</w:t>
      </w:r>
      <w:r w:rsidR="00B2487D" w:rsidRPr="00F2323F">
        <w:rPr>
          <w:rFonts w:ascii="Arial" w:hAnsi="Arial" w:cs="Arial"/>
        </w:rPr>
        <w:t xml:space="preserve"> Firefighters</w:t>
      </w:r>
      <w:r w:rsidR="001A6E55" w:rsidRPr="00F2323F">
        <w:rPr>
          <w:rFonts w:ascii="Arial" w:hAnsi="Arial" w:cs="Arial"/>
        </w:rPr>
        <w:t xml:space="preserve">) and </w:t>
      </w:r>
      <w:r w:rsidR="001F5F71" w:rsidRPr="00F2323F">
        <w:rPr>
          <w:rFonts w:ascii="Arial" w:hAnsi="Arial" w:cs="Arial"/>
        </w:rPr>
        <w:t>15 June 2020 (for On-Call Firefighters)</w:t>
      </w:r>
      <w:r w:rsidR="006C6DBD" w:rsidRPr="00F2323F">
        <w:rPr>
          <w:rFonts w:ascii="Arial" w:hAnsi="Arial" w:cs="Arial"/>
        </w:rPr>
        <w:t>, and</w:t>
      </w:r>
      <w:r w:rsidR="001F5F71" w:rsidRPr="00F2323F">
        <w:rPr>
          <w:rFonts w:ascii="Arial" w:hAnsi="Arial" w:cs="Arial"/>
        </w:rPr>
        <w:t xml:space="preserve"> </w:t>
      </w:r>
      <w:r w:rsidR="001A6E55" w:rsidRPr="00F2323F">
        <w:rPr>
          <w:rFonts w:ascii="Arial" w:hAnsi="Arial" w:cs="Arial"/>
        </w:rPr>
        <w:t xml:space="preserve">compared with active membership as at </w:t>
      </w:r>
      <w:r w:rsidR="003C32B2" w:rsidRPr="00F2323F">
        <w:rPr>
          <w:rFonts w:ascii="Arial" w:hAnsi="Arial" w:cs="Arial"/>
        </w:rPr>
        <w:t>14 February 2020</w:t>
      </w:r>
      <w:r w:rsidR="00E915F4" w:rsidRPr="00F2323F">
        <w:rPr>
          <w:rFonts w:ascii="Arial" w:hAnsi="Arial" w:cs="Arial"/>
        </w:rPr>
        <w:t xml:space="preserve"> (</w:t>
      </w:r>
      <w:r w:rsidR="00AB7AAB" w:rsidRPr="00F2323F">
        <w:rPr>
          <w:rFonts w:ascii="Arial" w:hAnsi="Arial" w:cs="Arial"/>
        </w:rPr>
        <w:t xml:space="preserve">for both Wholetime and </w:t>
      </w:r>
      <w:r w:rsidR="00E915F4" w:rsidRPr="00F2323F">
        <w:rPr>
          <w:rFonts w:ascii="Arial" w:hAnsi="Arial" w:cs="Arial"/>
        </w:rPr>
        <w:t>On-Call Firefighters)</w:t>
      </w:r>
      <w:r w:rsidR="00DC2320" w:rsidRPr="00F2323F">
        <w:rPr>
          <w:rFonts w:ascii="Arial" w:hAnsi="Arial" w:cs="Arial"/>
        </w:rPr>
        <w:t>.</w:t>
      </w:r>
    </w:p>
    <w:p w14:paraId="29C0088D" w14:textId="77777777" w:rsidR="00120475" w:rsidRPr="00F2323F" w:rsidRDefault="00120475" w:rsidP="00525003">
      <w:pPr>
        <w:shd w:val="clear" w:color="auto" w:fill="FFFFFF" w:themeFill="background1"/>
        <w:spacing w:line="240" w:lineRule="auto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3.1.1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911"/>
        <w:gridCol w:w="1451"/>
        <w:gridCol w:w="1440"/>
      </w:tblGrid>
      <w:tr w:rsidR="004958AC" w:rsidRPr="00F2323F" w14:paraId="03E328E1" w14:textId="77777777" w:rsidTr="001002E8">
        <w:trPr>
          <w:gridAfter w:val="1"/>
          <w:wAfter w:w="1440" w:type="dxa"/>
          <w:trHeight w:val="357"/>
        </w:trPr>
        <w:tc>
          <w:tcPr>
            <w:tcW w:w="4911" w:type="dxa"/>
            <w:vMerge w:val="restart"/>
            <w:vAlign w:val="center"/>
          </w:tcPr>
          <w:p w14:paraId="4714CBE9" w14:textId="77777777" w:rsidR="008D35A3" w:rsidRPr="00F2323F" w:rsidRDefault="008D35A3" w:rsidP="00525003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</w:p>
          <w:p w14:paraId="2ECFD439" w14:textId="5B457C4A" w:rsidR="008D1C39" w:rsidRPr="00F2323F" w:rsidRDefault="008D1C39" w:rsidP="00525003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Firefighters’ Pension Schemes Membership</w:t>
            </w:r>
          </w:p>
        </w:tc>
        <w:tc>
          <w:tcPr>
            <w:tcW w:w="1451" w:type="dxa"/>
            <w:vAlign w:val="center"/>
          </w:tcPr>
          <w:p w14:paraId="799929BD" w14:textId="77777777" w:rsidR="008D1C39" w:rsidRPr="00F2323F" w:rsidRDefault="00120475" w:rsidP="00525003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W</w:t>
            </w:r>
            <w:r w:rsidR="008D1C39" w:rsidRPr="00F2323F">
              <w:rPr>
                <w:rFonts w:ascii="Arial" w:hAnsi="Arial" w:cs="Arial"/>
                <w:b/>
              </w:rPr>
              <w:t>holetime</w:t>
            </w:r>
          </w:p>
        </w:tc>
      </w:tr>
      <w:tr w:rsidR="00AA2F54" w:rsidRPr="00F2323F" w14:paraId="3012E39A" w14:textId="77777777" w:rsidTr="00F846C2">
        <w:trPr>
          <w:trHeight w:val="569"/>
        </w:trPr>
        <w:tc>
          <w:tcPr>
            <w:tcW w:w="4911" w:type="dxa"/>
            <w:vMerge/>
            <w:vAlign w:val="center"/>
          </w:tcPr>
          <w:p w14:paraId="3CA404E6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1451" w:type="dxa"/>
            <w:vAlign w:val="center"/>
          </w:tcPr>
          <w:p w14:paraId="7B5CB821" w14:textId="456C23FE" w:rsidR="00AA2F54" w:rsidRPr="00F2323F" w:rsidRDefault="006317CD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  <w:bCs/>
              </w:rPr>
            </w:pPr>
            <w:r w:rsidRPr="00F2323F">
              <w:rPr>
                <w:rFonts w:ascii="Arial" w:hAnsi="Arial" w:cs="Arial"/>
                <w:b/>
                <w:bCs/>
              </w:rPr>
              <w:t>05/06</w:t>
            </w:r>
            <w:r w:rsidR="00AA2F54" w:rsidRPr="00F2323F">
              <w:rPr>
                <w:rFonts w:ascii="Arial" w:hAnsi="Arial" w:cs="Arial"/>
                <w:b/>
                <w:bCs/>
              </w:rPr>
              <w:t>/2020</w:t>
            </w:r>
          </w:p>
        </w:tc>
        <w:tc>
          <w:tcPr>
            <w:tcW w:w="1440" w:type="dxa"/>
            <w:vAlign w:val="center"/>
          </w:tcPr>
          <w:p w14:paraId="2F10BC41" w14:textId="036AF39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  <w:bCs/>
              </w:rPr>
              <w:t>14/02/2020</w:t>
            </w:r>
          </w:p>
        </w:tc>
      </w:tr>
      <w:tr w:rsidR="00AA2F54" w:rsidRPr="00F2323F" w14:paraId="0F055B24" w14:textId="77777777" w:rsidTr="00A160F3">
        <w:trPr>
          <w:trHeight w:val="284"/>
        </w:trPr>
        <w:tc>
          <w:tcPr>
            <w:tcW w:w="4911" w:type="dxa"/>
            <w:vAlign w:val="center"/>
          </w:tcPr>
          <w:p w14:paraId="5FB26A8D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ind w:left="-817" w:firstLine="817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1992</w:t>
            </w:r>
          </w:p>
        </w:tc>
        <w:tc>
          <w:tcPr>
            <w:tcW w:w="1451" w:type="dxa"/>
            <w:vAlign w:val="center"/>
          </w:tcPr>
          <w:p w14:paraId="5AAE9ABB" w14:textId="16A85FE8" w:rsidR="00AA2F54" w:rsidRPr="00F2323F" w:rsidRDefault="00407207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4</w:t>
            </w:r>
            <w:r w:rsidR="00E078C1" w:rsidRPr="00F2323F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14:paraId="7772ED45" w14:textId="24377B0A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45</w:t>
            </w:r>
          </w:p>
        </w:tc>
      </w:tr>
      <w:tr w:rsidR="00AA2F54" w:rsidRPr="00F2323F" w14:paraId="6D2FCC2C" w14:textId="77777777" w:rsidTr="00A160F3">
        <w:trPr>
          <w:trHeight w:val="284"/>
        </w:trPr>
        <w:tc>
          <w:tcPr>
            <w:tcW w:w="4911" w:type="dxa"/>
            <w:vAlign w:val="center"/>
          </w:tcPr>
          <w:p w14:paraId="5B863D48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2006</w:t>
            </w:r>
          </w:p>
        </w:tc>
        <w:tc>
          <w:tcPr>
            <w:tcW w:w="1451" w:type="dxa"/>
            <w:vAlign w:val="center"/>
          </w:tcPr>
          <w:p w14:paraId="47E9DEC1" w14:textId="1E37C42C" w:rsidR="00AA2F54" w:rsidRPr="00F2323F" w:rsidRDefault="007A1812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14:paraId="721365A8" w14:textId="37ED3E08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</w:tr>
      <w:tr w:rsidR="00AA2F54" w:rsidRPr="00F2323F" w14:paraId="43C72C0D" w14:textId="77777777" w:rsidTr="00A160F3">
        <w:trPr>
          <w:trHeight w:val="284"/>
        </w:trPr>
        <w:tc>
          <w:tcPr>
            <w:tcW w:w="4911" w:type="dxa"/>
            <w:vAlign w:val="center"/>
          </w:tcPr>
          <w:p w14:paraId="5DB8B4C9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2015</w:t>
            </w:r>
          </w:p>
        </w:tc>
        <w:tc>
          <w:tcPr>
            <w:tcW w:w="1451" w:type="dxa"/>
            <w:vAlign w:val="center"/>
          </w:tcPr>
          <w:p w14:paraId="11FC6627" w14:textId="2176F460" w:rsidR="00AA2F54" w:rsidRPr="00F2323F" w:rsidRDefault="00E7095F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257</w:t>
            </w:r>
          </w:p>
        </w:tc>
        <w:tc>
          <w:tcPr>
            <w:tcW w:w="1440" w:type="dxa"/>
            <w:vAlign w:val="center"/>
          </w:tcPr>
          <w:p w14:paraId="1AE7A58F" w14:textId="5493980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254</w:t>
            </w:r>
          </w:p>
        </w:tc>
      </w:tr>
      <w:tr w:rsidR="00AA2F54" w:rsidRPr="00F2323F" w14:paraId="2543ECE2" w14:textId="77777777" w:rsidTr="00A160F3">
        <w:trPr>
          <w:trHeight w:val="284"/>
        </w:trPr>
        <w:tc>
          <w:tcPr>
            <w:tcW w:w="4911" w:type="dxa"/>
            <w:vAlign w:val="center"/>
          </w:tcPr>
          <w:p w14:paraId="4AF1C50A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Retained Modified</w:t>
            </w:r>
          </w:p>
        </w:tc>
        <w:tc>
          <w:tcPr>
            <w:tcW w:w="1451" w:type="dxa"/>
            <w:vAlign w:val="center"/>
          </w:tcPr>
          <w:p w14:paraId="3820F410" w14:textId="02C40F18" w:rsidR="00AA2F54" w:rsidRPr="00F2323F" w:rsidRDefault="00297407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633FE513" w14:textId="46B123E9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</w:t>
            </w:r>
          </w:p>
        </w:tc>
      </w:tr>
      <w:tr w:rsidR="00AA2F54" w:rsidRPr="00F2323F" w14:paraId="2CC951D5" w14:textId="77777777" w:rsidTr="000169E5">
        <w:trPr>
          <w:trHeight w:val="284"/>
        </w:trPr>
        <w:tc>
          <w:tcPr>
            <w:tcW w:w="4911" w:type="dxa"/>
            <w:vAlign w:val="center"/>
          </w:tcPr>
          <w:p w14:paraId="39E371EB" w14:textId="77777777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Opted Out</w:t>
            </w:r>
          </w:p>
        </w:tc>
        <w:tc>
          <w:tcPr>
            <w:tcW w:w="1451" w:type="dxa"/>
            <w:vAlign w:val="center"/>
          </w:tcPr>
          <w:p w14:paraId="659619B6" w14:textId="64690E3D" w:rsidR="00AA2F54" w:rsidRPr="00F2323F" w:rsidRDefault="000028EB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31E15">
              <w:rPr>
                <w:rFonts w:ascii="Arial" w:hAnsi="Arial" w:cs="Arial"/>
              </w:rPr>
              <w:t>2</w:t>
            </w:r>
            <w:r w:rsidR="00AA2F54" w:rsidRPr="00F2323F">
              <w:rPr>
                <w:rFonts w:ascii="Arial" w:hAnsi="Arial" w:cs="Arial"/>
              </w:rPr>
              <w:t xml:space="preserve"> </w:t>
            </w:r>
            <w:r w:rsidR="00AA2F54" w:rsidRPr="00D31E15">
              <w:rPr>
                <w:rFonts w:ascii="Arial" w:hAnsi="Arial" w:cs="Arial"/>
              </w:rPr>
              <w:t>(</w:t>
            </w:r>
            <w:r w:rsidR="00D31E15" w:rsidRPr="00D31E15">
              <w:rPr>
                <w:rFonts w:ascii="Arial" w:hAnsi="Arial" w:cs="Arial"/>
              </w:rPr>
              <w:t>3.79</w:t>
            </w:r>
            <w:r w:rsidR="00AA2F54" w:rsidRPr="00D31E15">
              <w:rPr>
                <w:rFonts w:ascii="Arial" w:hAnsi="Arial" w:cs="Arial"/>
              </w:rPr>
              <w:t>%)</w:t>
            </w:r>
          </w:p>
        </w:tc>
        <w:tc>
          <w:tcPr>
            <w:tcW w:w="1440" w:type="dxa"/>
            <w:vAlign w:val="center"/>
          </w:tcPr>
          <w:p w14:paraId="4A65570C" w14:textId="789C88C8" w:rsidR="00AA2F54" w:rsidRPr="00F2323F" w:rsidRDefault="00AA2F54" w:rsidP="00AA2F54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14 (4.36%)</w:t>
            </w:r>
          </w:p>
        </w:tc>
      </w:tr>
    </w:tbl>
    <w:p w14:paraId="4255367D" w14:textId="77777777" w:rsidR="002F22B0" w:rsidRPr="00F2323F" w:rsidRDefault="002F22B0" w:rsidP="00525003">
      <w:pPr>
        <w:pStyle w:val="NoSpacing"/>
        <w:shd w:val="clear" w:color="auto" w:fill="FFFFFF" w:themeFill="background1"/>
        <w:spacing w:after="200"/>
        <w:jc w:val="both"/>
        <w:rPr>
          <w:rFonts w:ascii="Arial" w:hAnsi="Arial" w:cs="Arial"/>
        </w:rPr>
      </w:pPr>
    </w:p>
    <w:p w14:paraId="6E41E69C" w14:textId="36AAA733" w:rsidR="008D1C39" w:rsidRPr="00F2323F" w:rsidRDefault="00D96CEE" w:rsidP="00216191">
      <w:pPr>
        <w:pStyle w:val="NoSpacing"/>
        <w:spacing w:after="200"/>
        <w:ind w:left="709" w:hanging="709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3.1.2</w:t>
      </w:r>
      <w:r w:rsidRPr="00F2323F">
        <w:rPr>
          <w:rFonts w:ascii="Arial" w:hAnsi="Arial" w:cs="Arial"/>
        </w:rPr>
        <w:tab/>
      </w:r>
      <w:r w:rsidR="008D1C39" w:rsidRPr="00F2323F">
        <w:rPr>
          <w:rFonts w:ascii="Arial" w:hAnsi="Arial" w:cs="Arial"/>
        </w:rPr>
        <w:t>The variations for wholetime membership are as follows:</w:t>
      </w:r>
    </w:p>
    <w:p w14:paraId="776608DA" w14:textId="3E35D252" w:rsidR="00B85A86" w:rsidRPr="00F2323F" w:rsidRDefault="008D1C39" w:rsidP="00B85A86">
      <w:pPr>
        <w:pStyle w:val="NoSpacing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1992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7118E5" w:rsidRPr="00F2323F">
        <w:rPr>
          <w:rFonts w:ascii="Arial" w:hAnsi="Arial" w:cs="Arial"/>
          <w:bCs/>
        </w:rPr>
        <w:t>3</w:t>
      </w:r>
      <w:r w:rsidR="00B85A86" w:rsidRPr="00F2323F">
        <w:rPr>
          <w:rFonts w:ascii="Arial" w:hAnsi="Arial" w:cs="Arial"/>
          <w:bCs/>
        </w:rPr>
        <w:t xml:space="preserve"> </w:t>
      </w:r>
      <w:r w:rsidR="00893C1D" w:rsidRPr="00F2323F">
        <w:rPr>
          <w:rFonts w:ascii="Arial" w:hAnsi="Arial" w:cs="Arial"/>
        </w:rPr>
        <w:t>retirement</w:t>
      </w:r>
    </w:p>
    <w:p w14:paraId="28E9454A" w14:textId="1CF91DAC" w:rsidR="00B85A86" w:rsidRPr="00F2323F" w:rsidRDefault="00B85A86" w:rsidP="00B85A86">
      <w:pPr>
        <w:pStyle w:val="NoSpacing"/>
        <w:spacing w:after="200"/>
        <w:ind w:left="2160" w:firstLine="720"/>
        <w:jc w:val="both"/>
        <w:rPr>
          <w:rFonts w:ascii="Arial" w:hAnsi="Arial" w:cs="Arial"/>
          <w:bCs/>
        </w:rPr>
      </w:pPr>
      <w:r w:rsidRPr="00F2323F">
        <w:rPr>
          <w:rFonts w:ascii="Arial" w:hAnsi="Arial" w:cs="Arial"/>
          <w:bCs/>
        </w:rPr>
        <w:t>1 member transitioned to the 2015 scheme</w:t>
      </w:r>
    </w:p>
    <w:p w14:paraId="517CCEB6" w14:textId="6F65E666" w:rsidR="0074334F" w:rsidRPr="00F2323F" w:rsidRDefault="00CA7D3B" w:rsidP="00216191">
      <w:pPr>
        <w:pStyle w:val="NoSpacing"/>
        <w:numPr>
          <w:ilvl w:val="0"/>
          <w:numId w:val="1"/>
        </w:numPr>
        <w:spacing w:after="200"/>
        <w:jc w:val="both"/>
        <w:rPr>
          <w:rFonts w:ascii="Arial" w:hAnsi="Arial" w:cs="Arial"/>
          <w:bCs/>
        </w:rPr>
      </w:pPr>
      <w:r w:rsidRPr="00F2323F">
        <w:rPr>
          <w:rFonts w:ascii="Arial" w:hAnsi="Arial" w:cs="Arial"/>
          <w:b/>
        </w:rPr>
        <w:t>2006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7A1812" w:rsidRPr="00F2323F">
        <w:rPr>
          <w:rFonts w:ascii="Arial" w:hAnsi="Arial" w:cs="Arial"/>
        </w:rPr>
        <w:t>no movement</w:t>
      </w:r>
      <w:r w:rsidR="007A1812" w:rsidRPr="00F2323F">
        <w:rPr>
          <w:rFonts w:ascii="Arial" w:hAnsi="Arial" w:cs="Arial"/>
          <w:bCs/>
        </w:rPr>
        <w:t xml:space="preserve"> </w:t>
      </w:r>
    </w:p>
    <w:p w14:paraId="63D1E3DD" w14:textId="614ED8DF" w:rsidR="00317580" w:rsidRPr="00F2323F" w:rsidRDefault="008D1C39" w:rsidP="006645B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2015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756133" w:rsidRPr="00F2323F">
        <w:rPr>
          <w:rFonts w:ascii="Arial" w:hAnsi="Arial" w:cs="Arial"/>
          <w:bCs/>
        </w:rPr>
        <w:t xml:space="preserve">6 </w:t>
      </w:r>
      <w:r w:rsidR="00317580" w:rsidRPr="00F2323F">
        <w:rPr>
          <w:rFonts w:ascii="Arial" w:hAnsi="Arial" w:cs="Arial"/>
        </w:rPr>
        <w:t xml:space="preserve">starters (WT recruitment, on-call staff on temporary WT or </w:t>
      </w:r>
    </w:p>
    <w:p w14:paraId="3C12EBC4" w14:textId="7CF62413" w:rsidR="008D1C39" w:rsidRPr="00F2323F" w:rsidRDefault="00317580" w:rsidP="006645B7">
      <w:pPr>
        <w:pStyle w:val="NoSpacing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  <w:t>OSR posts)</w:t>
      </w:r>
    </w:p>
    <w:p w14:paraId="38B3D3C8" w14:textId="4BE5986F" w:rsidR="00437EF6" w:rsidRPr="00F2323F" w:rsidRDefault="00A50207" w:rsidP="00437EF6">
      <w:pPr>
        <w:pStyle w:val="NoSpacing"/>
        <w:ind w:left="288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1</w:t>
      </w:r>
      <w:r w:rsidR="008745C4" w:rsidRPr="00F2323F">
        <w:rPr>
          <w:rFonts w:ascii="Arial" w:hAnsi="Arial" w:cs="Arial"/>
        </w:rPr>
        <w:t xml:space="preserve"> member transitioned from the </w:t>
      </w:r>
      <w:r w:rsidRPr="00F2323F">
        <w:rPr>
          <w:rFonts w:ascii="Arial" w:hAnsi="Arial" w:cs="Arial"/>
        </w:rPr>
        <w:t>1992</w:t>
      </w:r>
      <w:r w:rsidR="008745C4" w:rsidRPr="00F2323F">
        <w:rPr>
          <w:rFonts w:ascii="Arial" w:hAnsi="Arial" w:cs="Arial"/>
        </w:rPr>
        <w:t xml:space="preserve"> scheme</w:t>
      </w:r>
    </w:p>
    <w:p w14:paraId="714C985D" w14:textId="3FAC28C0" w:rsidR="008745C4" w:rsidRPr="00F2323F" w:rsidRDefault="00D47D96" w:rsidP="00437EF6">
      <w:pPr>
        <w:pStyle w:val="NoSpacing"/>
        <w:ind w:left="288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4 </w:t>
      </w:r>
      <w:r w:rsidR="008745C4" w:rsidRPr="00F2323F">
        <w:rPr>
          <w:rFonts w:ascii="Arial" w:hAnsi="Arial" w:cs="Arial"/>
        </w:rPr>
        <w:t>leaver</w:t>
      </w:r>
      <w:r w:rsidRPr="00F2323F">
        <w:rPr>
          <w:rFonts w:ascii="Arial" w:hAnsi="Arial" w:cs="Arial"/>
        </w:rPr>
        <w:t>s</w:t>
      </w:r>
    </w:p>
    <w:p w14:paraId="778DC510" w14:textId="77777777" w:rsidR="00437EF6" w:rsidRPr="00F2323F" w:rsidRDefault="00C741B9" w:rsidP="00437EF6">
      <w:pPr>
        <w:pStyle w:val="NoSpacing"/>
        <w:numPr>
          <w:ilvl w:val="0"/>
          <w:numId w:val="1"/>
        </w:numPr>
        <w:spacing w:before="24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lastRenderedPageBreak/>
        <w:t>Retained modified</w:t>
      </w:r>
      <w:r w:rsidR="00525003" w:rsidRPr="00F2323F">
        <w:rPr>
          <w:rFonts w:ascii="Arial" w:hAnsi="Arial" w:cs="Arial"/>
          <w:b/>
        </w:rPr>
        <w:tab/>
      </w:r>
      <w:r w:rsidR="00525003" w:rsidRPr="00F2323F">
        <w:rPr>
          <w:rFonts w:ascii="Arial" w:hAnsi="Arial" w:cs="Arial"/>
        </w:rPr>
        <w:t>no movement</w:t>
      </w:r>
    </w:p>
    <w:p w14:paraId="4ECDFD86" w14:textId="77777777" w:rsidR="00000399" w:rsidRDefault="00525003" w:rsidP="00107511">
      <w:pPr>
        <w:pStyle w:val="NoSpacing"/>
        <w:ind w:left="72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scheme</w:t>
      </w:r>
      <w:r w:rsidR="00C741B9" w:rsidRPr="00F2323F">
        <w:rPr>
          <w:rFonts w:ascii="Arial" w:hAnsi="Arial" w:cs="Arial"/>
          <w:b/>
        </w:rPr>
        <w:tab/>
      </w:r>
    </w:p>
    <w:p w14:paraId="7896D7B3" w14:textId="7C75D088" w:rsidR="00C741B9" w:rsidRPr="00F2323F" w:rsidRDefault="00EF72C0" w:rsidP="00107511">
      <w:pPr>
        <w:pStyle w:val="NoSpacing"/>
        <w:ind w:left="72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</w:rPr>
        <w:t xml:space="preserve"> </w:t>
      </w:r>
      <w:r w:rsidR="00C741B9" w:rsidRPr="00F2323F">
        <w:rPr>
          <w:rFonts w:ascii="Arial" w:hAnsi="Arial" w:cs="Arial"/>
          <w:b/>
        </w:rPr>
        <w:tab/>
      </w:r>
      <w:r w:rsidR="00C741B9" w:rsidRPr="00F2323F">
        <w:rPr>
          <w:rFonts w:ascii="Arial" w:hAnsi="Arial" w:cs="Arial"/>
          <w:b/>
        </w:rPr>
        <w:tab/>
      </w:r>
    </w:p>
    <w:p w14:paraId="42AF3A51" w14:textId="0B5E7A1D" w:rsidR="009315BF" w:rsidRPr="00F2323F" w:rsidRDefault="009D63EA" w:rsidP="009315BF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323F">
        <w:rPr>
          <w:rFonts w:ascii="Arial" w:hAnsi="Arial" w:cs="Arial"/>
          <w:b/>
        </w:rPr>
        <w:t>Opt</w:t>
      </w:r>
      <w:proofErr w:type="spellEnd"/>
      <w:r w:rsidRPr="00F2323F">
        <w:rPr>
          <w:rFonts w:ascii="Arial" w:hAnsi="Arial" w:cs="Arial"/>
          <w:b/>
        </w:rPr>
        <w:t xml:space="preserve"> Outs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297407" w:rsidRPr="00F2323F">
        <w:rPr>
          <w:rFonts w:ascii="Arial" w:hAnsi="Arial" w:cs="Arial"/>
          <w:bCs/>
        </w:rPr>
        <w:t xml:space="preserve">No </w:t>
      </w:r>
      <w:r w:rsidR="00696E21" w:rsidRPr="00F2323F">
        <w:rPr>
          <w:rFonts w:ascii="Arial" w:hAnsi="Arial" w:cs="Arial"/>
        </w:rPr>
        <w:t>members have opt</w:t>
      </w:r>
      <w:r w:rsidR="00795DDF">
        <w:rPr>
          <w:rFonts w:ascii="Arial" w:hAnsi="Arial" w:cs="Arial"/>
        </w:rPr>
        <w:t>ed</w:t>
      </w:r>
      <w:r w:rsidR="00696E21" w:rsidRPr="00F2323F">
        <w:rPr>
          <w:rFonts w:ascii="Arial" w:hAnsi="Arial" w:cs="Arial"/>
        </w:rPr>
        <w:t xml:space="preserve"> out of the 2015 Scheme since </w:t>
      </w:r>
      <w:r w:rsidR="00171301">
        <w:rPr>
          <w:rFonts w:ascii="Arial" w:hAnsi="Arial" w:cs="Arial"/>
        </w:rPr>
        <w:t>the</w:t>
      </w:r>
    </w:p>
    <w:p w14:paraId="667681E1" w14:textId="54478A1A" w:rsidR="00955235" w:rsidRPr="00F2323F" w:rsidRDefault="00696E21" w:rsidP="009315BF">
      <w:pPr>
        <w:pStyle w:val="NoSpacing"/>
        <w:ind w:left="2160"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20 April 2020 Board meeting.  </w:t>
      </w:r>
      <w:r w:rsidR="006A64C9" w:rsidRPr="00F2323F">
        <w:rPr>
          <w:rFonts w:ascii="Arial" w:hAnsi="Arial" w:cs="Arial"/>
        </w:rPr>
        <w:t xml:space="preserve">  </w:t>
      </w:r>
    </w:p>
    <w:p w14:paraId="5584E521" w14:textId="5733ADF5" w:rsidR="00F1578F" w:rsidRPr="00F2323F" w:rsidRDefault="006A28DE" w:rsidP="00D857E0">
      <w:pPr>
        <w:pStyle w:val="NoSpacing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ab/>
      </w:r>
      <w:r w:rsidR="00F1578F" w:rsidRPr="00F2323F">
        <w:rPr>
          <w:rFonts w:ascii="Arial" w:hAnsi="Arial" w:cs="Arial"/>
        </w:rPr>
        <w:tab/>
      </w:r>
    </w:p>
    <w:p w14:paraId="66570119" w14:textId="4EC75F1E" w:rsidR="00CD730B" w:rsidRPr="00F2323F" w:rsidRDefault="00A160F3" w:rsidP="00525003">
      <w:pPr>
        <w:pStyle w:val="NoSpacing"/>
        <w:spacing w:after="20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625CDA" w:rsidRPr="00F2323F">
        <w:rPr>
          <w:rFonts w:ascii="Arial" w:hAnsi="Arial" w:cs="Arial"/>
        </w:rPr>
        <w:t>2</w:t>
      </w:r>
    </w:p>
    <w:tbl>
      <w:tblPr>
        <w:tblStyle w:val="TableGrid"/>
        <w:tblW w:w="7683" w:type="dxa"/>
        <w:tblInd w:w="817" w:type="dxa"/>
        <w:tblLook w:val="04A0" w:firstRow="1" w:lastRow="0" w:firstColumn="1" w:lastColumn="0" w:noHBand="0" w:noVBand="1"/>
      </w:tblPr>
      <w:tblGrid>
        <w:gridCol w:w="4911"/>
        <w:gridCol w:w="1440"/>
        <w:gridCol w:w="1332"/>
      </w:tblGrid>
      <w:tr w:rsidR="00CD730B" w:rsidRPr="00F2323F" w14:paraId="486C9AF0" w14:textId="77777777" w:rsidTr="00550134">
        <w:trPr>
          <w:gridAfter w:val="1"/>
          <w:wAfter w:w="1332" w:type="dxa"/>
          <w:trHeight w:val="402"/>
        </w:trPr>
        <w:tc>
          <w:tcPr>
            <w:tcW w:w="4911" w:type="dxa"/>
            <w:vMerge w:val="restart"/>
          </w:tcPr>
          <w:p w14:paraId="32D1FB51" w14:textId="77777777" w:rsidR="00CD730B" w:rsidRPr="00F2323F" w:rsidRDefault="00CD730B" w:rsidP="00525003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</w:p>
          <w:p w14:paraId="5A1FA74C" w14:textId="13BDF7B4" w:rsidR="00CD730B" w:rsidRPr="00F2323F" w:rsidRDefault="00CD730B" w:rsidP="00525003">
            <w:pPr>
              <w:pStyle w:val="NoSpacing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Firefighters’ Pension Schemes Membership</w:t>
            </w:r>
          </w:p>
        </w:tc>
        <w:tc>
          <w:tcPr>
            <w:tcW w:w="1440" w:type="dxa"/>
          </w:tcPr>
          <w:p w14:paraId="0B61F7D0" w14:textId="16772541" w:rsidR="00CD730B" w:rsidRPr="00F2323F" w:rsidRDefault="00276402" w:rsidP="00525003">
            <w:pPr>
              <w:pStyle w:val="NoSpacing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On-</w:t>
            </w:r>
            <w:r w:rsidR="00833D24" w:rsidRPr="00F2323F">
              <w:rPr>
                <w:rFonts w:ascii="Arial" w:hAnsi="Arial" w:cs="Arial"/>
                <w:b/>
              </w:rPr>
              <w:t>Call</w:t>
            </w:r>
          </w:p>
        </w:tc>
      </w:tr>
      <w:tr w:rsidR="005A31F9" w:rsidRPr="00F2323F" w14:paraId="78C22F49" w14:textId="77777777" w:rsidTr="00550134">
        <w:trPr>
          <w:trHeight w:val="598"/>
        </w:trPr>
        <w:tc>
          <w:tcPr>
            <w:tcW w:w="4911" w:type="dxa"/>
            <w:vMerge/>
          </w:tcPr>
          <w:p w14:paraId="0980C1C2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B95D76A" w14:textId="1F15F2ED" w:rsidR="005A31F9" w:rsidRPr="00F2323F" w:rsidRDefault="0070531B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15/06/2020</w:t>
            </w:r>
          </w:p>
        </w:tc>
        <w:tc>
          <w:tcPr>
            <w:tcW w:w="1332" w:type="dxa"/>
            <w:vAlign w:val="center"/>
          </w:tcPr>
          <w:p w14:paraId="2E75D03B" w14:textId="5BF6B661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14/02/2020</w:t>
            </w:r>
          </w:p>
        </w:tc>
      </w:tr>
      <w:tr w:rsidR="005A31F9" w:rsidRPr="00F2323F" w14:paraId="60B1AE11" w14:textId="77777777" w:rsidTr="00550134">
        <w:tc>
          <w:tcPr>
            <w:tcW w:w="4911" w:type="dxa"/>
            <w:vAlign w:val="center"/>
          </w:tcPr>
          <w:p w14:paraId="4C9D0B24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1992</w:t>
            </w:r>
          </w:p>
        </w:tc>
        <w:tc>
          <w:tcPr>
            <w:tcW w:w="1440" w:type="dxa"/>
            <w:vAlign w:val="center"/>
          </w:tcPr>
          <w:p w14:paraId="3FC1353A" w14:textId="22D2B7A8" w:rsidR="005A31F9" w:rsidRPr="00F2323F" w:rsidRDefault="009B395B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0</w:t>
            </w:r>
          </w:p>
        </w:tc>
        <w:tc>
          <w:tcPr>
            <w:tcW w:w="1332" w:type="dxa"/>
            <w:vAlign w:val="center"/>
          </w:tcPr>
          <w:p w14:paraId="7223C10B" w14:textId="22BF8C18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0</w:t>
            </w:r>
          </w:p>
        </w:tc>
      </w:tr>
      <w:tr w:rsidR="005A31F9" w:rsidRPr="00F2323F" w14:paraId="14FD427C" w14:textId="77777777" w:rsidTr="00550134"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1B6FB1BF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2006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02B19F" w14:textId="2D90751D" w:rsidR="005A31F9" w:rsidRPr="00F2323F" w:rsidRDefault="002975C1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2D64F44F" w14:textId="296E3AEE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</w:t>
            </w:r>
          </w:p>
        </w:tc>
      </w:tr>
      <w:tr w:rsidR="005A31F9" w:rsidRPr="00F2323F" w14:paraId="38FF196F" w14:textId="77777777" w:rsidTr="00550134"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52EC42F9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D21F93" w14:textId="3264D026" w:rsidR="005A31F9" w:rsidRPr="00F2323F" w:rsidRDefault="00660E0E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302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412316E" w14:textId="04D77782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295</w:t>
            </w:r>
          </w:p>
        </w:tc>
      </w:tr>
      <w:tr w:rsidR="005A31F9" w:rsidRPr="00F2323F" w14:paraId="0B3709F1" w14:textId="77777777" w:rsidTr="0055013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9450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Retained Modified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8480" w14:textId="76B36F1D" w:rsidR="005A31F9" w:rsidRPr="00F2323F" w:rsidRDefault="00C472A8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E841" w14:textId="59106ECC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13</w:t>
            </w:r>
          </w:p>
        </w:tc>
      </w:tr>
      <w:tr w:rsidR="005A31F9" w:rsidRPr="00F2323F" w14:paraId="195E0B08" w14:textId="77777777" w:rsidTr="00550134"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DA2" w14:textId="77777777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Opted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AB3" w14:textId="119ABF3D" w:rsidR="005A31F9" w:rsidRPr="00F2323F" w:rsidRDefault="006616CC" w:rsidP="005A31F9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787779">
              <w:rPr>
                <w:rFonts w:ascii="Arial" w:hAnsi="Arial" w:cs="Arial"/>
              </w:rPr>
              <w:t xml:space="preserve">14 </w:t>
            </w:r>
            <w:r w:rsidR="005A31F9" w:rsidRPr="00787779">
              <w:rPr>
                <w:rFonts w:ascii="Arial" w:hAnsi="Arial" w:cs="Arial"/>
              </w:rPr>
              <w:t>(</w:t>
            </w:r>
            <w:r w:rsidRPr="00787779">
              <w:rPr>
                <w:rFonts w:ascii="Arial" w:hAnsi="Arial" w:cs="Arial"/>
              </w:rPr>
              <w:t>3.83</w:t>
            </w:r>
            <w:r w:rsidR="005A31F9" w:rsidRPr="00787779">
              <w:rPr>
                <w:rFonts w:ascii="Arial" w:hAnsi="Arial" w:cs="Arial"/>
              </w:rPr>
              <w:t>%)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F9E" w14:textId="66776744" w:rsidR="005A31F9" w:rsidRPr="00F2323F" w:rsidRDefault="005A31F9" w:rsidP="005A31F9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14 (3.79%)</w:t>
            </w:r>
          </w:p>
        </w:tc>
      </w:tr>
    </w:tbl>
    <w:p w14:paraId="47D9E216" w14:textId="77777777" w:rsidR="007E765A" w:rsidRPr="00F2323F" w:rsidRDefault="007E765A" w:rsidP="00525003">
      <w:pPr>
        <w:pStyle w:val="NoSpacing"/>
        <w:spacing w:after="200"/>
        <w:jc w:val="both"/>
        <w:rPr>
          <w:rFonts w:ascii="Arial" w:hAnsi="Arial" w:cs="Arial"/>
        </w:rPr>
      </w:pPr>
    </w:p>
    <w:p w14:paraId="3846CDA1" w14:textId="6F5F18BE" w:rsidR="00CD730B" w:rsidRPr="00F2323F" w:rsidRDefault="00D96CEE" w:rsidP="00525003">
      <w:pPr>
        <w:pStyle w:val="NoSpacing"/>
        <w:spacing w:after="200"/>
        <w:ind w:left="709" w:hanging="709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625CDA" w:rsidRPr="00F2323F">
        <w:rPr>
          <w:rFonts w:ascii="Arial" w:hAnsi="Arial" w:cs="Arial"/>
        </w:rPr>
        <w:t>2.1</w:t>
      </w:r>
      <w:r w:rsidRPr="00F2323F">
        <w:rPr>
          <w:rFonts w:ascii="Arial" w:hAnsi="Arial" w:cs="Arial"/>
        </w:rPr>
        <w:tab/>
      </w:r>
      <w:r w:rsidR="00CD730B" w:rsidRPr="00F2323F">
        <w:rPr>
          <w:rFonts w:ascii="Arial" w:hAnsi="Arial" w:cs="Arial"/>
        </w:rPr>
        <w:t xml:space="preserve">The variations for </w:t>
      </w:r>
      <w:r w:rsidR="00833D24" w:rsidRPr="00F2323F">
        <w:rPr>
          <w:rFonts w:ascii="Arial" w:hAnsi="Arial" w:cs="Arial"/>
        </w:rPr>
        <w:t>On</w:t>
      </w:r>
      <w:r w:rsidR="00081EE5" w:rsidRPr="00F2323F">
        <w:rPr>
          <w:rFonts w:ascii="Arial" w:hAnsi="Arial" w:cs="Arial"/>
        </w:rPr>
        <w:t>-</w:t>
      </w:r>
      <w:r w:rsidR="00833D24" w:rsidRPr="00F2323F">
        <w:rPr>
          <w:rFonts w:ascii="Arial" w:hAnsi="Arial" w:cs="Arial"/>
        </w:rPr>
        <w:t>Call</w:t>
      </w:r>
      <w:r w:rsidR="00CD730B" w:rsidRPr="00F2323F">
        <w:rPr>
          <w:rFonts w:ascii="Arial" w:hAnsi="Arial" w:cs="Arial"/>
        </w:rPr>
        <w:t xml:space="preserve"> membership are as follows:</w:t>
      </w:r>
    </w:p>
    <w:p w14:paraId="3F91C8D9" w14:textId="6FCE5B2A" w:rsidR="00CD730B" w:rsidRPr="00F2323F" w:rsidRDefault="00CD730B" w:rsidP="00525003">
      <w:pPr>
        <w:pStyle w:val="NoSpacing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2006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D857E0" w:rsidRPr="00F2323F">
        <w:rPr>
          <w:rFonts w:ascii="Arial" w:hAnsi="Arial" w:cs="Arial"/>
        </w:rPr>
        <w:t>no movement</w:t>
      </w:r>
    </w:p>
    <w:p w14:paraId="56D30805" w14:textId="42D2616E" w:rsidR="00381A0D" w:rsidRPr="00F2323F" w:rsidRDefault="00CD730B" w:rsidP="00485B4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2015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4F45BA" w:rsidRPr="00F2323F">
        <w:rPr>
          <w:rFonts w:ascii="Arial" w:hAnsi="Arial" w:cs="Arial"/>
          <w:bCs/>
        </w:rPr>
        <w:t xml:space="preserve">19 </w:t>
      </w:r>
      <w:r w:rsidRPr="00F2323F">
        <w:rPr>
          <w:rFonts w:ascii="Arial" w:hAnsi="Arial" w:cs="Arial"/>
        </w:rPr>
        <w:t>starters</w:t>
      </w:r>
      <w:r w:rsidR="00381A0D" w:rsidRPr="00F2323F">
        <w:rPr>
          <w:rFonts w:ascii="Arial" w:hAnsi="Arial" w:cs="Arial"/>
        </w:rPr>
        <w:t xml:space="preserve"> (new employees)</w:t>
      </w:r>
    </w:p>
    <w:p w14:paraId="1CEB78D3" w14:textId="4EA9B4BF" w:rsidR="00245ADD" w:rsidRPr="00F2323F" w:rsidRDefault="00E850B6" w:rsidP="00485B43">
      <w:pPr>
        <w:pStyle w:val="NoSpacing"/>
        <w:ind w:left="2160"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1</w:t>
      </w:r>
      <w:r w:rsidR="00F540B3" w:rsidRPr="00F2323F">
        <w:rPr>
          <w:rFonts w:ascii="Arial" w:hAnsi="Arial" w:cs="Arial"/>
        </w:rPr>
        <w:t>1</w:t>
      </w:r>
      <w:r w:rsidRPr="00F2323F">
        <w:rPr>
          <w:rFonts w:ascii="Arial" w:hAnsi="Arial" w:cs="Arial"/>
        </w:rPr>
        <w:t xml:space="preserve"> </w:t>
      </w:r>
      <w:r w:rsidR="00565A53" w:rsidRPr="00F2323F">
        <w:rPr>
          <w:rFonts w:ascii="Arial" w:hAnsi="Arial" w:cs="Arial"/>
        </w:rPr>
        <w:t>leavers</w:t>
      </w:r>
    </w:p>
    <w:p w14:paraId="5F87E70A" w14:textId="796AECCA" w:rsidR="00F540B3" w:rsidRPr="00F2323F" w:rsidRDefault="00F540B3" w:rsidP="00485B43">
      <w:pPr>
        <w:pStyle w:val="NoSpacing"/>
        <w:ind w:left="2160"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1 retirement</w:t>
      </w:r>
    </w:p>
    <w:p w14:paraId="0B76B2E8" w14:textId="77777777" w:rsidR="00485B43" w:rsidRPr="00F2323F" w:rsidRDefault="00485B43" w:rsidP="00485B43">
      <w:pPr>
        <w:pStyle w:val="NoSpacing"/>
        <w:ind w:left="2160" w:firstLine="720"/>
        <w:jc w:val="both"/>
        <w:rPr>
          <w:rFonts w:ascii="Arial" w:hAnsi="Arial" w:cs="Arial"/>
          <w:highlight w:val="yellow"/>
        </w:rPr>
      </w:pPr>
    </w:p>
    <w:p w14:paraId="71FE9071" w14:textId="7EE2A848" w:rsidR="0039282F" w:rsidRPr="00F2323F" w:rsidRDefault="0039282F" w:rsidP="00471569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R</w:t>
      </w:r>
      <w:r w:rsidR="006E4579" w:rsidRPr="00F2323F">
        <w:rPr>
          <w:rFonts w:ascii="Arial" w:hAnsi="Arial" w:cs="Arial"/>
          <w:b/>
        </w:rPr>
        <w:t>etained modified</w:t>
      </w:r>
      <w:r w:rsidRPr="00F2323F">
        <w:rPr>
          <w:rFonts w:ascii="Arial" w:hAnsi="Arial" w:cs="Arial"/>
          <w:b/>
        </w:rPr>
        <w:tab/>
      </w:r>
      <w:r w:rsidR="00C943D2" w:rsidRPr="00F2323F">
        <w:rPr>
          <w:rFonts w:ascii="Arial" w:hAnsi="Arial" w:cs="Arial"/>
        </w:rPr>
        <w:t>no movement</w:t>
      </w:r>
      <w:r w:rsidR="006E46DA" w:rsidRPr="00F2323F">
        <w:rPr>
          <w:rFonts w:ascii="Arial" w:hAnsi="Arial" w:cs="Arial"/>
        </w:rPr>
        <w:t xml:space="preserve"> </w:t>
      </w:r>
    </w:p>
    <w:p w14:paraId="36937C18" w14:textId="371BEC58" w:rsidR="005773DF" w:rsidRPr="00F2323F" w:rsidRDefault="005773DF" w:rsidP="00471569">
      <w:pPr>
        <w:pStyle w:val="NoSpacing"/>
        <w:ind w:firstLine="72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t>s</w:t>
      </w:r>
      <w:r w:rsidR="006E4579" w:rsidRPr="00F2323F">
        <w:rPr>
          <w:rFonts w:ascii="Arial" w:hAnsi="Arial" w:cs="Arial"/>
          <w:b/>
        </w:rPr>
        <w:t>cheme</w:t>
      </w:r>
    </w:p>
    <w:p w14:paraId="23D1CB29" w14:textId="77777777" w:rsidR="005773DF" w:rsidRPr="00F2323F" w:rsidRDefault="005773DF" w:rsidP="00471569">
      <w:pPr>
        <w:pStyle w:val="NoSpacing"/>
        <w:ind w:firstLine="720"/>
        <w:jc w:val="both"/>
        <w:rPr>
          <w:rFonts w:ascii="Arial" w:hAnsi="Arial" w:cs="Arial"/>
          <w:b/>
        </w:rPr>
      </w:pPr>
    </w:p>
    <w:p w14:paraId="65CDB7BA" w14:textId="2F81F5DD" w:rsidR="003653FD" w:rsidRPr="00F2323F" w:rsidRDefault="003653FD" w:rsidP="003653FD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323F">
        <w:rPr>
          <w:rFonts w:ascii="Arial" w:hAnsi="Arial" w:cs="Arial"/>
          <w:b/>
        </w:rPr>
        <w:t>Opt</w:t>
      </w:r>
      <w:proofErr w:type="spellEnd"/>
      <w:r w:rsidRPr="00F2323F">
        <w:rPr>
          <w:rFonts w:ascii="Arial" w:hAnsi="Arial" w:cs="Arial"/>
          <w:b/>
        </w:rPr>
        <w:t xml:space="preserve"> Outs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Cs/>
        </w:rPr>
        <w:t xml:space="preserve">No </w:t>
      </w:r>
      <w:r w:rsidRPr="00F2323F">
        <w:rPr>
          <w:rFonts w:ascii="Arial" w:hAnsi="Arial" w:cs="Arial"/>
        </w:rPr>
        <w:t>members have opt</w:t>
      </w:r>
      <w:r w:rsidR="00171301">
        <w:rPr>
          <w:rFonts w:ascii="Arial" w:hAnsi="Arial" w:cs="Arial"/>
        </w:rPr>
        <w:t>ed</w:t>
      </w:r>
      <w:r w:rsidRPr="00F2323F">
        <w:rPr>
          <w:rFonts w:ascii="Arial" w:hAnsi="Arial" w:cs="Arial"/>
        </w:rPr>
        <w:t xml:space="preserve"> out of the 2015 Scheme since </w:t>
      </w:r>
      <w:r w:rsidR="00171301">
        <w:rPr>
          <w:rFonts w:ascii="Arial" w:hAnsi="Arial" w:cs="Arial"/>
        </w:rPr>
        <w:t>the</w:t>
      </w:r>
    </w:p>
    <w:p w14:paraId="200E5202" w14:textId="6014B7F8" w:rsidR="003653FD" w:rsidRPr="00F2323F" w:rsidRDefault="003653FD" w:rsidP="003653FD">
      <w:pPr>
        <w:pStyle w:val="NoSpacing"/>
        <w:ind w:left="2160"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20 April 2020 Board meeting.    </w:t>
      </w:r>
    </w:p>
    <w:p w14:paraId="16228574" w14:textId="77777777" w:rsidR="00064B44" w:rsidRPr="00F2323F" w:rsidRDefault="00064B44" w:rsidP="00995380">
      <w:pPr>
        <w:pStyle w:val="NoSpacing"/>
        <w:ind w:left="2880"/>
        <w:jc w:val="both"/>
        <w:rPr>
          <w:rFonts w:ascii="Arial" w:hAnsi="Arial" w:cs="Arial"/>
        </w:rPr>
      </w:pPr>
    </w:p>
    <w:p w14:paraId="3B1D81DD" w14:textId="45666797" w:rsidR="00CD730B" w:rsidRPr="00F2323F" w:rsidRDefault="00381A0D" w:rsidP="00995380">
      <w:pPr>
        <w:pStyle w:val="NoSpacing"/>
        <w:ind w:left="2880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</w:p>
    <w:p w14:paraId="3F523A6B" w14:textId="482D49F0" w:rsidR="00276686" w:rsidRPr="00F2323F" w:rsidRDefault="00A160F3" w:rsidP="00525003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625CDA" w:rsidRPr="00F2323F">
        <w:rPr>
          <w:rFonts w:ascii="Arial" w:hAnsi="Arial" w:cs="Arial"/>
        </w:rPr>
        <w:t>3</w:t>
      </w:r>
      <w:r w:rsidRPr="00F2323F">
        <w:rPr>
          <w:rFonts w:ascii="Arial" w:hAnsi="Arial" w:cs="Arial"/>
        </w:rPr>
        <w:tab/>
      </w:r>
      <w:r w:rsidR="00CA58F4" w:rsidRPr="00F2323F">
        <w:rPr>
          <w:rFonts w:ascii="Arial" w:hAnsi="Arial" w:cs="Arial"/>
        </w:rPr>
        <w:t xml:space="preserve">The following table shows the </w:t>
      </w:r>
      <w:r w:rsidR="001347F1" w:rsidRPr="00F2323F">
        <w:rPr>
          <w:rFonts w:ascii="Arial" w:hAnsi="Arial" w:cs="Arial"/>
        </w:rPr>
        <w:t xml:space="preserve">retired </w:t>
      </w:r>
      <w:r w:rsidR="00CA58F4" w:rsidRPr="00F2323F">
        <w:rPr>
          <w:rFonts w:ascii="Arial" w:hAnsi="Arial" w:cs="Arial"/>
        </w:rPr>
        <w:t>members accordi</w:t>
      </w:r>
      <w:r w:rsidR="00B2487D" w:rsidRPr="00F2323F">
        <w:rPr>
          <w:rFonts w:ascii="Arial" w:hAnsi="Arial" w:cs="Arial"/>
        </w:rPr>
        <w:t>ng to each scheme as at</w:t>
      </w:r>
      <w:r w:rsidR="007E0B2F" w:rsidRPr="00F2323F">
        <w:rPr>
          <w:rFonts w:ascii="Arial" w:hAnsi="Arial" w:cs="Arial"/>
        </w:rPr>
        <w:t xml:space="preserve"> </w:t>
      </w:r>
      <w:r w:rsidR="00A86DCF" w:rsidRPr="00F2323F">
        <w:rPr>
          <w:rFonts w:ascii="Arial" w:hAnsi="Arial" w:cs="Arial"/>
        </w:rPr>
        <w:t xml:space="preserve">12 June </w:t>
      </w:r>
      <w:r w:rsidR="00066ADF" w:rsidRPr="00F2323F">
        <w:rPr>
          <w:rFonts w:ascii="Arial" w:hAnsi="Arial" w:cs="Arial"/>
        </w:rPr>
        <w:t xml:space="preserve">2020 </w:t>
      </w:r>
      <w:r w:rsidR="00CA58F4" w:rsidRPr="00F2323F">
        <w:rPr>
          <w:rFonts w:ascii="Arial" w:hAnsi="Arial" w:cs="Arial"/>
        </w:rPr>
        <w:t xml:space="preserve">compared to </w:t>
      </w:r>
      <w:r w:rsidR="00581FA8" w:rsidRPr="00F2323F">
        <w:rPr>
          <w:rFonts w:ascii="Arial" w:hAnsi="Arial" w:cs="Arial"/>
        </w:rPr>
        <w:t>1</w:t>
      </w:r>
      <w:r w:rsidR="00E60268" w:rsidRPr="00F2323F">
        <w:rPr>
          <w:rFonts w:ascii="Arial" w:hAnsi="Arial" w:cs="Arial"/>
        </w:rPr>
        <w:t xml:space="preserve">8 March </w:t>
      </w:r>
      <w:r w:rsidR="00B12FC4" w:rsidRPr="00F2323F">
        <w:rPr>
          <w:rFonts w:ascii="Arial" w:hAnsi="Arial" w:cs="Arial"/>
        </w:rPr>
        <w:t>20</w:t>
      </w:r>
      <w:r w:rsidR="00E60268" w:rsidRPr="00F2323F">
        <w:rPr>
          <w:rFonts w:ascii="Arial" w:hAnsi="Arial" w:cs="Arial"/>
        </w:rPr>
        <w:t>20</w:t>
      </w:r>
      <w:r w:rsidR="00127847" w:rsidRPr="00F2323F">
        <w:rPr>
          <w:rFonts w:ascii="Arial" w:hAnsi="Arial" w:cs="Arial"/>
        </w:rPr>
        <w:t xml:space="preserve">.  </w:t>
      </w:r>
      <w:r w:rsidR="00C719AC" w:rsidRPr="00F2323F">
        <w:rPr>
          <w:rFonts w:ascii="Arial" w:hAnsi="Arial" w:cs="Arial"/>
        </w:rPr>
        <w:t>M</w:t>
      </w:r>
      <w:r w:rsidR="00B2487D" w:rsidRPr="00F2323F">
        <w:rPr>
          <w:rFonts w:ascii="Arial" w:hAnsi="Arial" w:cs="Arial"/>
        </w:rPr>
        <w:t>embership continues to be</w:t>
      </w:r>
      <w:r w:rsidR="00CA58F4" w:rsidRPr="00F2323F">
        <w:rPr>
          <w:rFonts w:ascii="Arial" w:hAnsi="Arial" w:cs="Arial"/>
        </w:rPr>
        <w:t xml:space="preserve"> split</w:t>
      </w:r>
      <w:r w:rsidR="0022619C" w:rsidRPr="00F2323F">
        <w:rPr>
          <w:rFonts w:ascii="Arial" w:hAnsi="Arial" w:cs="Arial"/>
        </w:rPr>
        <w:t xml:space="preserve"> between pensioners and dependants</w:t>
      </w:r>
      <w:r w:rsidR="005577FA" w:rsidRPr="00F2323F">
        <w:rPr>
          <w:rFonts w:ascii="Arial" w:hAnsi="Arial" w:cs="Arial"/>
        </w:rPr>
        <w:t>.</w:t>
      </w:r>
      <w:r w:rsidR="00CA58F4" w:rsidRPr="00F2323F">
        <w:rPr>
          <w:rFonts w:ascii="Arial" w:hAnsi="Arial" w:cs="Arial"/>
        </w:rPr>
        <w:t xml:space="preserve"> </w:t>
      </w:r>
    </w:p>
    <w:p w14:paraId="5097EBB8" w14:textId="21F7FDD0" w:rsidR="00AF558D" w:rsidRPr="00F2323F" w:rsidRDefault="004E5808" w:rsidP="00525003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625CDA" w:rsidRPr="00F2323F">
        <w:rPr>
          <w:rFonts w:ascii="Arial" w:hAnsi="Arial" w:cs="Arial"/>
        </w:rPr>
        <w:t>3.1</w:t>
      </w:r>
    </w:p>
    <w:tbl>
      <w:tblPr>
        <w:tblStyle w:val="TableGrid"/>
        <w:tblW w:w="8789" w:type="dxa"/>
        <w:tblInd w:w="675" w:type="dxa"/>
        <w:tblLook w:val="04A0" w:firstRow="1" w:lastRow="0" w:firstColumn="1" w:lastColumn="0" w:noHBand="0" w:noVBand="1"/>
      </w:tblPr>
      <w:tblGrid>
        <w:gridCol w:w="6153"/>
        <w:gridCol w:w="1318"/>
        <w:gridCol w:w="1318"/>
      </w:tblGrid>
      <w:tr w:rsidR="00C719AC" w:rsidRPr="00F2323F" w14:paraId="333612CE" w14:textId="77777777" w:rsidTr="002E70BB">
        <w:trPr>
          <w:trHeight w:val="480"/>
        </w:trPr>
        <w:tc>
          <w:tcPr>
            <w:tcW w:w="6237" w:type="dxa"/>
          </w:tcPr>
          <w:p w14:paraId="4E8F9AE6" w14:textId="65DBFA09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Firefighters’ Pensions Schemes Retired Membership</w:t>
            </w:r>
          </w:p>
        </w:tc>
        <w:tc>
          <w:tcPr>
            <w:tcW w:w="1276" w:type="dxa"/>
            <w:vAlign w:val="center"/>
          </w:tcPr>
          <w:p w14:paraId="76363CDF" w14:textId="39CA95B7" w:rsidR="00C719AC" w:rsidRPr="00F2323F" w:rsidRDefault="000247AE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</w:t>
            </w:r>
            <w:r w:rsidR="00403338" w:rsidRPr="00F2323F">
              <w:rPr>
                <w:rFonts w:ascii="Arial" w:hAnsi="Arial" w:cs="Arial"/>
                <w:b/>
              </w:rPr>
              <w:t>2/06</w:t>
            </w:r>
            <w:r w:rsidR="00A452A8">
              <w:rPr>
                <w:rFonts w:ascii="Arial" w:hAnsi="Arial" w:cs="Arial"/>
                <w:b/>
              </w:rPr>
              <w:t>/</w:t>
            </w:r>
            <w:r w:rsidRPr="00F2323F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276" w:type="dxa"/>
            <w:vAlign w:val="center"/>
          </w:tcPr>
          <w:p w14:paraId="27156383" w14:textId="330FF81D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18/03/2020</w:t>
            </w:r>
          </w:p>
        </w:tc>
      </w:tr>
      <w:tr w:rsidR="00C719AC" w:rsidRPr="00F2323F" w14:paraId="775AFEB1" w14:textId="77777777" w:rsidTr="002E70BB">
        <w:tc>
          <w:tcPr>
            <w:tcW w:w="6237" w:type="dxa"/>
            <w:vAlign w:val="center"/>
          </w:tcPr>
          <w:p w14:paraId="3C7C3018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1992 (Pensioners)</w:t>
            </w:r>
          </w:p>
        </w:tc>
        <w:tc>
          <w:tcPr>
            <w:tcW w:w="1276" w:type="dxa"/>
            <w:vAlign w:val="center"/>
          </w:tcPr>
          <w:p w14:paraId="034DD899" w14:textId="5FAF6CD1" w:rsidR="00C719AC" w:rsidRPr="00F2323F" w:rsidRDefault="004D1C92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  <w:lang w:val="en-US"/>
              </w:rPr>
            </w:pPr>
            <w:r w:rsidRPr="00F2323F">
              <w:rPr>
                <w:rFonts w:ascii="Arial" w:hAnsi="Arial" w:cs="Arial"/>
                <w:lang w:val="en-US"/>
              </w:rPr>
              <w:t>43</w:t>
            </w:r>
            <w:r w:rsidR="00F87AB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14:paraId="1DDA2579" w14:textId="06AE32A0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  <w:lang w:val="en-US"/>
              </w:rPr>
              <w:t>435</w:t>
            </w:r>
          </w:p>
        </w:tc>
      </w:tr>
      <w:tr w:rsidR="00C719AC" w:rsidRPr="00F2323F" w14:paraId="4E196592" w14:textId="77777777" w:rsidTr="002E70BB">
        <w:tc>
          <w:tcPr>
            <w:tcW w:w="6237" w:type="dxa"/>
            <w:vAlign w:val="center"/>
          </w:tcPr>
          <w:p w14:paraId="78E9CC6D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 xml:space="preserve">1992 (Dependants – widow / partner / child pension) </w:t>
            </w:r>
          </w:p>
        </w:tc>
        <w:tc>
          <w:tcPr>
            <w:tcW w:w="1276" w:type="dxa"/>
            <w:vAlign w:val="center"/>
          </w:tcPr>
          <w:p w14:paraId="3C5462D1" w14:textId="6A495920" w:rsidR="00C719AC" w:rsidRPr="00F2323F" w:rsidRDefault="004D1C92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8</w:t>
            </w:r>
            <w:r w:rsidR="00CA7C25" w:rsidRPr="00F2323F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14:paraId="244FC1ED" w14:textId="63D8DF8B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85</w:t>
            </w:r>
          </w:p>
        </w:tc>
      </w:tr>
      <w:tr w:rsidR="00C719AC" w:rsidRPr="00F2323F" w14:paraId="4839D948" w14:textId="77777777" w:rsidTr="002E70BB">
        <w:tc>
          <w:tcPr>
            <w:tcW w:w="6237" w:type="dxa"/>
            <w:vAlign w:val="center"/>
          </w:tcPr>
          <w:p w14:paraId="3F5A5DF1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2006</w:t>
            </w:r>
          </w:p>
        </w:tc>
        <w:tc>
          <w:tcPr>
            <w:tcW w:w="1276" w:type="dxa"/>
            <w:vAlign w:val="center"/>
          </w:tcPr>
          <w:p w14:paraId="08D2C078" w14:textId="254FBB29" w:rsidR="00C719AC" w:rsidRPr="00F2323F" w:rsidRDefault="004D1C92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  <w:vAlign w:val="center"/>
          </w:tcPr>
          <w:p w14:paraId="08EC060F" w14:textId="1204B2E9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19</w:t>
            </w:r>
          </w:p>
        </w:tc>
      </w:tr>
      <w:tr w:rsidR="00C719AC" w:rsidRPr="00F2323F" w14:paraId="63C1D22A" w14:textId="77777777" w:rsidTr="002E70BB">
        <w:tc>
          <w:tcPr>
            <w:tcW w:w="6237" w:type="dxa"/>
            <w:vAlign w:val="center"/>
          </w:tcPr>
          <w:p w14:paraId="6E516DC1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2006 (Dependants – widow / partner / child pension)</w:t>
            </w:r>
          </w:p>
        </w:tc>
        <w:tc>
          <w:tcPr>
            <w:tcW w:w="1276" w:type="dxa"/>
            <w:vAlign w:val="center"/>
          </w:tcPr>
          <w:p w14:paraId="44EC73B5" w14:textId="7ECBD827" w:rsidR="00C719AC" w:rsidRPr="00F2323F" w:rsidRDefault="004D1C92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62857E90" w14:textId="59505F32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</w:tr>
      <w:tr w:rsidR="00C719AC" w:rsidRPr="00F2323F" w14:paraId="664678DB" w14:textId="77777777" w:rsidTr="002E70BB">
        <w:tc>
          <w:tcPr>
            <w:tcW w:w="6237" w:type="dxa"/>
            <w:vAlign w:val="center"/>
          </w:tcPr>
          <w:p w14:paraId="1DA87E89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  <w:vAlign w:val="center"/>
          </w:tcPr>
          <w:p w14:paraId="640B091C" w14:textId="30A2BD34" w:rsidR="00C719AC" w:rsidRPr="00F2323F" w:rsidRDefault="00871DD0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14:paraId="7F6DBA70" w14:textId="7B60F719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9</w:t>
            </w:r>
          </w:p>
        </w:tc>
      </w:tr>
      <w:tr w:rsidR="00C719AC" w:rsidRPr="00F2323F" w14:paraId="3727279E" w14:textId="77777777" w:rsidTr="002E70BB">
        <w:tc>
          <w:tcPr>
            <w:tcW w:w="6237" w:type="dxa"/>
            <w:vAlign w:val="center"/>
          </w:tcPr>
          <w:p w14:paraId="38975F1F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lastRenderedPageBreak/>
              <w:t>2015 (Dependants – widow / partner / child pension)</w:t>
            </w:r>
          </w:p>
        </w:tc>
        <w:tc>
          <w:tcPr>
            <w:tcW w:w="1276" w:type="dxa"/>
            <w:vAlign w:val="center"/>
          </w:tcPr>
          <w:p w14:paraId="222901E1" w14:textId="6E4151EC" w:rsidR="00C719AC" w:rsidRPr="00F2323F" w:rsidRDefault="00871DD0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vAlign w:val="center"/>
          </w:tcPr>
          <w:p w14:paraId="3571B6DA" w14:textId="51F4768A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</w:p>
        </w:tc>
      </w:tr>
      <w:tr w:rsidR="00C719AC" w:rsidRPr="00F2323F" w14:paraId="31CD1C53" w14:textId="77777777" w:rsidTr="002E70BB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427A57F" w14:textId="77777777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Retained Modified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04F5D2" w14:textId="5E8FE180" w:rsidR="00C719AC" w:rsidRPr="00F2323F" w:rsidRDefault="004B4769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3D7EF7" w14:textId="16DDB909" w:rsidR="00C719AC" w:rsidRPr="00F2323F" w:rsidRDefault="00CE0CC8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51</w:t>
            </w:r>
          </w:p>
        </w:tc>
      </w:tr>
      <w:tr w:rsidR="00C719AC" w:rsidRPr="00F2323F" w14:paraId="6BA9570D" w14:textId="77777777" w:rsidTr="002E70BB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33BDBBD" w14:textId="5BCF2992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Retained Modified (Dependants – widow / partner / child pension)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69A938" w14:textId="50CAD346" w:rsidR="00C719AC" w:rsidRPr="00F2323F" w:rsidRDefault="004B4769" w:rsidP="00C719AC">
            <w:pPr>
              <w:pStyle w:val="NoSpacing"/>
              <w:shd w:val="clear" w:color="auto" w:fill="FFFFFF" w:themeFill="background1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55A770" w14:textId="0E79A780" w:rsidR="00C719AC" w:rsidRPr="00F2323F" w:rsidRDefault="00C719AC" w:rsidP="00C719AC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0</w:t>
            </w:r>
          </w:p>
        </w:tc>
      </w:tr>
    </w:tbl>
    <w:p w14:paraId="24C458C5" w14:textId="77777777" w:rsidR="00AF558D" w:rsidRPr="00F2323F" w:rsidRDefault="00AF558D" w:rsidP="00525003">
      <w:pPr>
        <w:pStyle w:val="NoSpacing"/>
        <w:spacing w:after="200"/>
        <w:jc w:val="both"/>
        <w:rPr>
          <w:rFonts w:ascii="Arial" w:hAnsi="Arial" w:cs="Arial"/>
        </w:rPr>
      </w:pPr>
    </w:p>
    <w:p w14:paraId="3E6E65F2" w14:textId="12A6EC80" w:rsidR="007E765A" w:rsidRPr="00F2323F" w:rsidRDefault="009C2B3C" w:rsidP="00525003">
      <w:pPr>
        <w:pStyle w:val="NoSpacing"/>
        <w:spacing w:after="200"/>
        <w:ind w:left="567" w:hanging="567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720C27" w:rsidRPr="00F2323F">
        <w:rPr>
          <w:rFonts w:ascii="Arial" w:hAnsi="Arial" w:cs="Arial"/>
        </w:rPr>
        <w:t>3.</w:t>
      </w:r>
      <w:r w:rsidR="00365F64" w:rsidRPr="00F2323F">
        <w:rPr>
          <w:rFonts w:ascii="Arial" w:hAnsi="Arial" w:cs="Arial"/>
        </w:rPr>
        <w:t>2</w:t>
      </w:r>
      <w:r w:rsidRPr="00F2323F">
        <w:rPr>
          <w:rFonts w:ascii="Arial" w:hAnsi="Arial" w:cs="Arial"/>
        </w:rPr>
        <w:tab/>
      </w:r>
      <w:r w:rsidR="00814C15" w:rsidRPr="00F2323F">
        <w:rPr>
          <w:rFonts w:ascii="Arial" w:hAnsi="Arial" w:cs="Arial"/>
        </w:rPr>
        <w:tab/>
      </w:r>
      <w:r w:rsidR="007E765A" w:rsidRPr="00F2323F">
        <w:rPr>
          <w:rFonts w:ascii="Arial" w:hAnsi="Arial" w:cs="Arial"/>
        </w:rPr>
        <w:t>The variation</w:t>
      </w:r>
      <w:r w:rsidR="00127847" w:rsidRPr="00F2323F">
        <w:rPr>
          <w:rFonts w:ascii="Arial" w:hAnsi="Arial" w:cs="Arial"/>
        </w:rPr>
        <w:t>s</w:t>
      </w:r>
      <w:r w:rsidR="007E765A" w:rsidRPr="00F2323F">
        <w:rPr>
          <w:rFonts w:ascii="Arial" w:hAnsi="Arial" w:cs="Arial"/>
        </w:rPr>
        <w:t xml:space="preserve"> for members with a pensioner status are as follows:</w:t>
      </w:r>
    </w:p>
    <w:p w14:paraId="2C49CA7C" w14:textId="1059E9A4" w:rsidR="00AB4C06" w:rsidRPr="00F2323F" w:rsidRDefault="00CA58F4" w:rsidP="00496743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1992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977916" w:rsidRPr="00F2323F">
        <w:rPr>
          <w:rFonts w:ascii="Arial" w:hAnsi="Arial" w:cs="Arial"/>
          <w:bCs/>
        </w:rPr>
        <w:t>3</w:t>
      </w:r>
      <w:r w:rsidR="003E38DF" w:rsidRPr="00F2323F">
        <w:rPr>
          <w:rFonts w:ascii="Arial" w:hAnsi="Arial" w:cs="Arial"/>
          <w:b/>
        </w:rPr>
        <w:t xml:space="preserve"> </w:t>
      </w:r>
      <w:r w:rsidR="001F20B3" w:rsidRPr="00F2323F">
        <w:rPr>
          <w:rFonts w:ascii="Arial" w:hAnsi="Arial" w:cs="Arial"/>
        </w:rPr>
        <w:t>retirement from active status implemented</w:t>
      </w:r>
    </w:p>
    <w:p w14:paraId="45AB404A" w14:textId="7D20A614" w:rsidR="00B950A9" w:rsidRPr="00F2323F" w:rsidRDefault="004E6388" w:rsidP="00496743">
      <w:pPr>
        <w:pStyle w:val="NoSpacing"/>
        <w:ind w:left="2520" w:firstLine="36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1 </w:t>
      </w:r>
      <w:r w:rsidR="006C5357" w:rsidRPr="00F2323F">
        <w:rPr>
          <w:rFonts w:ascii="Arial" w:hAnsi="Arial" w:cs="Arial"/>
        </w:rPr>
        <w:t>death</w:t>
      </w:r>
      <w:r w:rsidR="00BF75A8" w:rsidRPr="00F2323F">
        <w:rPr>
          <w:rFonts w:ascii="Arial" w:hAnsi="Arial" w:cs="Arial"/>
        </w:rPr>
        <w:t>s</w:t>
      </w:r>
      <w:r w:rsidR="006C5357" w:rsidRPr="00F2323F">
        <w:rPr>
          <w:rFonts w:ascii="Arial" w:hAnsi="Arial" w:cs="Arial"/>
        </w:rPr>
        <w:t xml:space="preserve"> of a pensioner</w:t>
      </w:r>
    </w:p>
    <w:p w14:paraId="2D14DDA7" w14:textId="77777777" w:rsidR="00496743" w:rsidRPr="00F2323F" w:rsidRDefault="00496743" w:rsidP="00496743">
      <w:pPr>
        <w:pStyle w:val="NoSpacing"/>
        <w:ind w:left="2520" w:firstLine="360"/>
        <w:jc w:val="both"/>
        <w:rPr>
          <w:rFonts w:ascii="Arial" w:hAnsi="Arial" w:cs="Arial"/>
        </w:rPr>
      </w:pPr>
    </w:p>
    <w:p w14:paraId="34900F27" w14:textId="43DD1FC4" w:rsidR="006E4579" w:rsidRPr="00F2323F" w:rsidRDefault="00B950A9" w:rsidP="00525003">
      <w:pPr>
        <w:pStyle w:val="NoSpacing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2006 scheme</w:t>
      </w:r>
      <w:r w:rsidRPr="00F2323F">
        <w:rPr>
          <w:rFonts w:ascii="Arial" w:hAnsi="Arial" w:cs="Arial"/>
        </w:rPr>
        <w:tab/>
      </w:r>
      <w:r w:rsidRPr="00F2323F">
        <w:rPr>
          <w:rFonts w:ascii="Arial" w:hAnsi="Arial" w:cs="Arial"/>
        </w:rPr>
        <w:tab/>
      </w:r>
      <w:r w:rsidR="00DD04FE" w:rsidRPr="00F2323F">
        <w:rPr>
          <w:rFonts w:ascii="Arial" w:hAnsi="Arial" w:cs="Arial"/>
          <w:bCs/>
        </w:rPr>
        <w:t>no movement</w:t>
      </w:r>
      <w:r w:rsidR="00DD04FE" w:rsidRPr="00F2323F">
        <w:rPr>
          <w:rFonts w:ascii="Arial" w:hAnsi="Arial" w:cs="Arial"/>
        </w:rPr>
        <w:t xml:space="preserve"> </w:t>
      </w:r>
    </w:p>
    <w:p w14:paraId="02BA8CB8" w14:textId="1379E9D4" w:rsidR="00B6037A" w:rsidRPr="00F2323F" w:rsidRDefault="00B6037A" w:rsidP="00525003">
      <w:pPr>
        <w:pStyle w:val="NoSpacing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2015 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DD04FE" w:rsidRPr="00F2323F">
        <w:rPr>
          <w:rFonts w:ascii="Arial" w:hAnsi="Arial" w:cs="Arial"/>
          <w:bCs/>
        </w:rPr>
        <w:t xml:space="preserve">1 </w:t>
      </w:r>
      <w:r w:rsidR="00DD04FE" w:rsidRPr="00F2323F">
        <w:rPr>
          <w:rFonts w:ascii="Arial" w:hAnsi="Arial" w:cs="Arial"/>
        </w:rPr>
        <w:t>retirement from active status implemented</w:t>
      </w:r>
    </w:p>
    <w:p w14:paraId="49B50DCA" w14:textId="34CD8FDA" w:rsidR="0048522A" w:rsidRPr="00F2323F" w:rsidRDefault="004E43B2" w:rsidP="00DE0C04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R</w:t>
      </w:r>
      <w:r w:rsidR="006E4579" w:rsidRPr="00F2323F">
        <w:rPr>
          <w:rFonts w:ascii="Arial" w:hAnsi="Arial" w:cs="Arial"/>
          <w:b/>
        </w:rPr>
        <w:t>etained mo</w:t>
      </w:r>
      <w:r w:rsidRPr="00F2323F">
        <w:rPr>
          <w:rFonts w:ascii="Arial" w:hAnsi="Arial" w:cs="Arial"/>
          <w:b/>
        </w:rPr>
        <w:t>dified</w:t>
      </w:r>
      <w:r w:rsidRPr="00F2323F">
        <w:rPr>
          <w:rFonts w:ascii="Arial" w:hAnsi="Arial" w:cs="Arial"/>
          <w:b/>
        </w:rPr>
        <w:tab/>
      </w:r>
      <w:r w:rsidR="009615D2" w:rsidRPr="00F2323F">
        <w:rPr>
          <w:rFonts w:ascii="Arial" w:hAnsi="Arial" w:cs="Arial"/>
          <w:bCs/>
        </w:rPr>
        <w:t>no movement</w:t>
      </w:r>
      <w:r w:rsidR="009615D2" w:rsidRPr="00F2323F">
        <w:rPr>
          <w:rFonts w:ascii="Arial" w:hAnsi="Arial" w:cs="Arial"/>
        </w:rPr>
        <w:t xml:space="preserve"> </w:t>
      </w:r>
      <w:r w:rsidR="00BF75A8" w:rsidRPr="00F2323F">
        <w:rPr>
          <w:rFonts w:ascii="Arial" w:hAnsi="Arial" w:cs="Arial"/>
          <w:bCs/>
        </w:rPr>
        <w:t xml:space="preserve"> </w:t>
      </w:r>
      <w:r w:rsidR="008E73F5" w:rsidRPr="00F2323F">
        <w:rPr>
          <w:rFonts w:ascii="Arial" w:hAnsi="Arial" w:cs="Arial"/>
        </w:rPr>
        <w:t xml:space="preserve"> </w:t>
      </w:r>
      <w:r w:rsidR="00B950A9" w:rsidRPr="00F2323F">
        <w:rPr>
          <w:rFonts w:ascii="Arial" w:hAnsi="Arial" w:cs="Arial"/>
        </w:rPr>
        <w:t xml:space="preserve"> </w:t>
      </w:r>
      <w:r w:rsidR="006C5357" w:rsidRPr="00F2323F">
        <w:rPr>
          <w:rFonts w:ascii="Arial" w:hAnsi="Arial" w:cs="Arial"/>
        </w:rPr>
        <w:t xml:space="preserve"> </w:t>
      </w:r>
    </w:p>
    <w:p w14:paraId="1D5570EE" w14:textId="1844DB6A" w:rsidR="00DE0C04" w:rsidRPr="00F2323F" w:rsidRDefault="006E4579" w:rsidP="00DE0C04">
      <w:pPr>
        <w:pStyle w:val="NoSpacing"/>
        <w:ind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</w:rPr>
        <w:t>scheme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</w:rPr>
        <w:tab/>
      </w:r>
      <w:r w:rsidR="00A6795C" w:rsidRPr="00F2323F">
        <w:rPr>
          <w:rFonts w:ascii="Arial" w:hAnsi="Arial" w:cs="Arial"/>
        </w:rPr>
        <w:t xml:space="preserve"> </w:t>
      </w:r>
    </w:p>
    <w:p w14:paraId="66E197F0" w14:textId="52CCFEBD" w:rsidR="007E22B5" w:rsidRPr="00F2323F" w:rsidRDefault="00A6795C" w:rsidP="00DE0C04">
      <w:pPr>
        <w:pStyle w:val="NoSpacing"/>
        <w:ind w:firstLine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  </w:t>
      </w:r>
    </w:p>
    <w:p w14:paraId="3C0D84CE" w14:textId="5ED54C9F" w:rsidR="00940F85" w:rsidRPr="00F2323F" w:rsidRDefault="007E22B5" w:rsidP="00525003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F0783B" w:rsidRPr="00F2323F">
        <w:rPr>
          <w:rFonts w:ascii="Arial" w:hAnsi="Arial" w:cs="Arial"/>
        </w:rPr>
        <w:t>4</w:t>
      </w:r>
      <w:r w:rsidR="00A160F3" w:rsidRPr="00F2323F">
        <w:rPr>
          <w:rFonts w:ascii="Arial" w:hAnsi="Arial" w:cs="Arial"/>
        </w:rPr>
        <w:tab/>
      </w:r>
      <w:r w:rsidR="002F5C09" w:rsidRPr="00F2323F">
        <w:rPr>
          <w:rFonts w:ascii="Arial" w:hAnsi="Arial" w:cs="Arial"/>
        </w:rPr>
        <w:t>The following table shows the deferred membe</w:t>
      </w:r>
      <w:r w:rsidR="00B2487D" w:rsidRPr="00F2323F">
        <w:rPr>
          <w:rFonts w:ascii="Arial" w:hAnsi="Arial" w:cs="Arial"/>
        </w:rPr>
        <w:t>rs of each scheme as at</w:t>
      </w:r>
      <w:r w:rsidR="00127847" w:rsidRPr="00F2323F">
        <w:rPr>
          <w:rFonts w:ascii="Arial" w:hAnsi="Arial" w:cs="Arial"/>
        </w:rPr>
        <w:t xml:space="preserve"> </w:t>
      </w:r>
      <w:r w:rsidR="00595044" w:rsidRPr="00F2323F">
        <w:rPr>
          <w:rFonts w:ascii="Arial" w:hAnsi="Arial" w:cs="Arial"/>
        </w:rPr>
        <w:t xml:space="preserve">12 June </w:t>
      </w:r>
      <w:r w:rsidR="009615D2" w:rsidRPr="00F2323F">
        <w:rPr>
          <w:rFonts w:ascii="Arial" w:hAnsi="Arial" w:cs="Arial"/>
        </w:rPr>
        <w:t>2020</w:t>
      </w:r>
      <w:r w:rsidR="002F5C09" w:rsidRPr="00F2323F">
        <w:rPr>
          <w:rFonts w:ascii="Arial" w:hAnsi="Arial" w:cs="Arial"/>
        </w:rPr>
        <w:t xml:space="preserve">, compared to those as at </w:t>
      </w:r>
      <w:r w:rsidR="008E0DAC" w:rsidRPr="00F2323F">
        <w:rPr>
          <w:rFonts w:ascii="Arial" w:hAnsi="Arial" w:cs="Arial"/>
        </w:rPr>
        <w:t>1</w:t>
      </w:r>
      <w:r w:rsidR="00FE70D7" w:rsidRPr="00F2323F">
        <w:rPr>
          <w:rFonts w:ascii="Arial" w:hAnsi="Arial" w:cs="Arial"/>
        </w:rPr>
        <w:t>8 March 2020</w:t>
      </w:r>
      <w:r w:rsidR="002F5C09" w:rsidRPr="00F2323F">
        <w:rPr>
          <w:rFonts w:ascii="Arial" w:hAnsi="Arial" w:cs="Arial"/>
        </w:rPr>
        <w:t>.</w:t>
      </w:r>
    </w:p>
    <w:p w14:paraId="6DAC9E49" w14:textId="0C02EFDC" w:rsidR="007E22B5" w:rsidRPr="00F2323F" w:rsidRDefault="007E22B5" w:rsidP="00525003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F0783B" w:rsidRPr="00F2323F">
        <w:rPr>
          <w:rFonts w:ascii="Arial" w:hAnsi="Arial" w:cs="Arial"/>
        </w:rPr>
        <w:t>4</w:t>
      </w:r>
      <w:r w:rsidRPr="00F2323F">
        <w:rPr>
          <w:rFonts w:ascii="Arial" w:hAnsi="Arial" w:cs="Arial"/>
        </w:rPr>
        <w:t>.1</w:t>
      </w:r>
    </w:p>
    <w:tbl>
      <w:tblPr>
        <w:tblStyle w:val="TableGrid"/>
        <w:tblW w:w="8200" w:type="dxa"/>
        <w:tblInd w:w="817" w:type="dxa"/>
        <w:tblLook w:val="04A0" w:firstRow="1" w:lastRow="0" w:firstColumn="1" w:lastColumn="0" w:noHBand="0" w:noVBand="1"/>
      </w:tblPr>
      <w:tblGrid>
        <w:gridCol w:w="5564"/>
        <w:gridCol w:w="1318"/>
        <w:gridCol w:w="1318"/>
      </w:tblGrid>
      <w:tr w:rsidR="00FE70D7" w:rsidRPr="00F2323F" w14:paraId="52392B17" w14:textId="77777777" w:rsidTr="00FE70D7">
        <w:trPr>
          <w:trHeight w:val="327"/>
        </w:trPr>
        <w:tc>
          <w:tcPr>
            <w:tcW w:w="5766" w:type="dxa"/>
            <w:vAlign w:val="center"/>
          </w:tcPr>
          <w:p w14:paraId="56D45BCA" w14:textId="58FD3F61" w:rsidR="00FE70D7" w:rsidRPr="00F2323F" w:rsidRDefault="00FE70D7" w:rsidP="00A452A8">
            <w:pPr>
              <w:pStyle w:val="NoSpacing"/>
              <w:spacing w:after="200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Firefighters’ Pensions Schemes Deferred Membership</w:t>
            </w:r>
          </w:p>
        </w:tc>
        <w:tc>
          <w:tcPr>
            <w:tcW w:w="1217" w:type="dxa"/>
          </w:tcPr>
          <w:p w14:paraId="39890F47" w14:textId="25D8B4DF" w:rsidR="00FE70D7" w:rsidRPr="00F2323F" w:rsidRDefault="00595044" w:rsidP="00FE70D7">
            <w:pPr>
              <w:pStyle w:val="NoSpacing"/>
              <w:spacing w:after="200"/>
              <w:jc w:val="center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12/06</w:t>
            </w:r>
            <w:r w:rsidR="00712859" w:rsidRPr="00F2323F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1217" w:type="dxa"/>
          </w:tcPr>
          <w:p w14:paraId="0CDB61D3" w14:textId="28B13097" w:rsidR="00FE70D7" w:rsidRPr="00F2323F" w:rsidRDefault="00FE70D7" w:rsidP="00FE70D7">
            <w:pPr>
              <w:pStyle w:val="NoSpacing"/>
              <w:spacing w:after="200"/>
              <w:jc w:val="center"/>
              <w:rPr>
                <w:rFonts w:ascii="Arial" w:hAnsi="Arial" w:cs="Arial"/>
                <w:b/>
              </w:rPr>
            </w:pPr>
            <w:r w:rsidRPr="00F2323F">
              <w:rPr>
                <w:rFonts w:ascii="Arial" w:hAnsi="Arial" w:cs="Arial"/>
                <w:b/>
              </w:rPr>
              <w:t>18/03/2020</w:t>
            </w:r>
          </w:p>
        </w:tc>
      </w:tr>
      <w:tr w:rsidR="00FE70D7" w:rsidRPr="00F2323F" w14:paraId="1912895E" w14:textId="77777777" w:rsidTr="00FE70D7">
        <w:tc>
          <w:tcPr>
            <w:tcW w:w="5766" w:type="dxa"/>
            <w:vAlign w:val="center"/>
          </w:tcPr>
          <w:p w14:paraId="7636E19A" w14:textId="77777777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 xml:space="preserve">1992 </w:t>
            </w:r>
          </w:p>
        </w:tc>
        <w:tc>
          <w:tcPr>
            <w:tcW w:w="1217" w:type="dxa"/>
            <w:vAlign w:val="center"/>
          </w:tcPr>
          <w:p w14:paraId="3279BF64" w14:textId="714E10BE" w:rsidR="00FE70D7" w:rsidRPr="00F2323F" w:rsidRDefault="005F1284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31</w:t>
            </w:r>
          </w:p>
        </w:tc>
        <w:tc>
          <w:tcPr>
            <w:tcW w:w="1217" w:type="dxa"/>
            <w:vAlign w:val="center"/>
          </w:tcPr>
          <w:p w14:paraId="2E3AEFC3" w14:textId="30A1D557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31</w:t>
            </w:r>
          </w:p>
        </w:tc>
      </w:tr>
      <w:tr w:rsidR="00FE70D7" w:rsidRPr="00F2323F" w14:paraId="22FBF62A" w14:textId="77777777" w:rsidTr="00FE70D7">
        <w:tc>
          <w:tcPr>
            <w:tcW w:w="5766" w:type="dxa"/>
            <w:vAlign w:val="center"/>
          </w:tcPr>
          <w:p w14:paraId="772C9511" w14:textId="77777777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2006</w:t>
            </w:r>
          </w:p>
        </w:tc>
        <w:tc>
          <w:tcPr>
            <w:tcW w:w="1217" w:type="dxa"/>
            <w:vAlign w:val="center"/>
          </w:tcPr>
          <w:p w14:paraId="045F96AE" w14:textId="59840AF0" w:rsidR="00FE70D7" w:rsidRPr="00F2323F" w:rsidRDefault="00956813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147</w:t>
            </w:r>
          </w:p>
        </w:tc>
        <w:tc>
          <w:tcPr>
            <w:tcW w:w="1217" w:type="dxa"/>
            <w:vAlign w:val="center"/>
          </w:tcPr>
          <w:p w14:paraId="74A8052D" w14:textId="4B824532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147</w:t>
            </w:r>
          </w:p>
        </w:tc>
      </w:tr>
      <w:tr w:rsidR="00FE70D7" w:rsidRPr="00F2323F" w14:paraId="07DF57EC" w14:textId="77777777" w:rsidTr="00FE70D7"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14:paraId="371F790F" w14:textId="77777777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RDS Modified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D73F915" w14:textId="269603F4" w:rsidR="00FE70D7" w:rsidRPr="00F2323F" w:rsidRDefault="00322538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</w:t>
            </w:r>
            <w:r w:rsidR="00017F5A" w:rsidRPr="00F2323F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297038A6" w14:textId="5FA559CB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27</w:t>
            </w:r>
          </w:p>
        </w:tc>
      </w:tr>
      <w:tr w:rsidR="00FE70D7" w:rsidRPr="00F2323F" w14:paraId="62DEC22A" w14:textId="77777777" w:rsidTr="00FE70D7"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14:paraId="1E3CA9D1" w14:textId="77777777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2015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84B696E" w14:textId="282CE483" w:rsidR="00FE70D7" w:rsidRPr="00F2323F" w:rsidRDefault="00DB2EA9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</w:t>
            </w:r>
            <w:r w:rsidR="00AB691A" w:rsidRPr="00F2323F">
              <w:rPr>
                <w:rFonts w:ascii="Arial" w:hAnsi="Arial" w:cs="Arial"/>
              </w:rPr>
              <w:t>76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FD1A51B" w14:textId="65729749" w:rsidR="00FE70D7" w:rsidRPr="00F2323F" w:rsidRDefault="00FE70D7" w:rsidP="00FE70D7">
            <w:pPr>
              <w:pStyle w:val="NoSpacing"/>
              <w:spacing w:after="200"/>
              <w:jc w:val="both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159</w:t>
            </w:r>
          </w:p>
        </w:tc>
      </w:tr>
    </w:tbl>
    <w:p w14:paraId="16CBB4FB" w14:textId="28CBAACA" w:rsidR="002F5C09" w:rsidRPr="00F2323F" w:rsidRDefault="00814C15" w:rsidP="00525003">
      <w:pPr>
        <w:pStyle w:val="NoSpacing"/>
        <w:spacing w:after="20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ab/>
      </w:r>
    </w:p>
    <w:p w14:paraId="0921B494" w14:textId="3B117595" w:rsidR="00AD228D" w:rsidRDefault="004919B4" w:rsidP="00BB3DE3">
      <w:pPr>
        <w:pStyle w:val="NoSpacing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3.</w:t>
      </w:r>
      <w:r w:rsidR="00F0783B" w:rsidRPr="00F2323F">
        <w:rPr>
          <w:rFonts w:ascii="Arial" w:hAnsi="Arial" w:cs="Arial"/>
        </w:rPr>
        <w:t>4</w:t>
      </w:r>
      <w:r w:rsidRPr="00F2323F">
        <w:rPr>
          <w:rFonts w:ascii="Arial" w:hAnsi="Arial" w:cs="Arial"/>
        </w:rPr>
        <w:t>.2</w:t>
      </w:r>
      <w:r w:rsidRPr="00F2323F">
        <w:rPr>
          <w:rFonts w:ascii="Arial" w:hAnsi="Arial" w:cs="Arial"/>
        </w:rPr>
        <w:tab/>
      </w:r>
      <w:r w:rsidR="002F5C09" w:rsidRPr="00F2323F">
        <w:rPr>
          <w:rFonts w:ascii="Arial" w:hAnsi="Arial" w:cs="Arial"/>
        </w:rPr>
        <w:t>The variations in deferred pension members cover pensions that have come into payment, leavers and those who have opted out of the scheme</w:t>
      </w:r>
      <w:r w:rsidR="00824013" w:rsidRPr="00F2323F">
        <w:rPr>
          <w:rFonts w:ascii="Arial" w:hAnsi="Arial" w:cs="Arial"/>
        </w:rPr>
        <w:t xml:space="preserve"> (who </w:t>
      </w:r>
      <w:proofErr w:type="gramStart"/>
      <w:r w:rsidR="00824013" w:rsidRPr="00F2323F">
        <w:rPr>
          <w:rFonts w:ascii="Arial" w:hAnsi="Arial" w:cs="Arial"/>
        </w:rPr>
        <w:t>don’t</w:t>
      </w:r>
      <w:proofErr w:type="gramEnd"/>
      <w:r w:rsidR="00824013" w:rsidRPr="00F2323F">
        <w:rPr>
          <w:rFonts w:ascii="Arial" w:hAnsi="Arial" w:cs="Arial"/>
        </w:rPr>
        <w:t xml:space="preserve"> qualify for a refund of their contributions)</w:t>
      </w:r>
      <w:r w:rsidR="002F5C09" w:rsidRPr="00F2323F">
        <w:rPr>
          <w:rFonts w:ascii="Arial" w:hAnsi="Arial" w:cs="Arial"/>
        </w:rPr>
        <w:t>.</w:t>
      </w:r>
    </w:p>
    <w:p w14:paraId="27D8AC46" w14:textId="77777777" w:rsidR="00BB3DE3" w:rsidRPr="00F2323F" w:rsidRDefault="00BB3DE3" w:rsidP="00BB3DE3">
      <w:pPr>
        <w:pStyle w:val="NoSpacing"/>
        <w:ind w:left="720" w:hanging="720"/>
        <w:jc w:val="both"/>
        <w:rPr>
          <w:rFonts w:ascii="Arial" w:hAnsi="Arial" w:cs="Arial"/>
        </w:rPr>
      </w:pPr>
    </w:p>
    <w:p w14:paraId="734A64A6" w14:textId="77777777" w:rsidR="00451840" w:rsidRPr="00F2323F" w:rsidRDefault="00451840" w:rsidP="00BB3DE3">
      <w:pPr>
        <w:pStyle w:val="NoSpacing"/>
        <w:ind w:left="720" w:hanging="720"/>
        <w:jc w:val="both"/>
        <w:rPr>
          <w:rFonts w:ascii="Arial" w:hAnsi="Arial" w:cs="Arial"/>
        </w:rPr>
      </w:pPr>
    </w:p>
    <w:p w14:paraId="00A9E8DC" w14:textId="0AFA3EDB" w:rsidR="007E22B5" w:rsidRDefault="00AD228D" w:rsidP="00BB3DE3">
      <w:pPr>
        <w:pStyle w:val="NoSpacing"/>
        <w:jc w:val="both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</w:rPr>
        <w:t>4.0</w:t>
      </w:r>
      <w:r w:rsidRPr="00F2323F">
        <w:rPr>
          <w:rFonts w:ascii="Arial" w:hAnsi="Arial" w:cs="Arial"/>
          <w:b/>
        </w:rPr>
        <w:tab/>
      </w:r>
      <w:r w:rsidRPr="00F2323F">
        <w:rPr>
          <w:rFonts w:ascii="Arial" w:hAnsi="Arial" w:cs="Arial"/>
          <w:b/>
          <w:u w:val="single"/>
        </w:rPr>
        <w:t>Internal Dispute Resolution Procedure (IDRP)</w:t>
      </w:r>
    </w:p>
    <w:p w14:paraId="3D4A0A49" w14:textId="77777777" w:rsidR="00AA683F" w:rsidRPr="00F2323F" w:rsidRDefault="00AA683F" w:rsidP="00BB3DE3">
      <w:pPr>
        <w:pStyle w:val="NoSpacing"/>
        <w:jc w:val="both"/>
        <w:rPr>
          <w:rFonts w:ascii="Arial" w:hAnsi="Arial" w:cs="Arial"/>
        </w:rPr>
      </w:pPr>
    </w:p>
    <w:p w14:paraId="1156EBE8" w14:textId="5D2BADA1" w:rsidR="007E22B5" w:rsidRPr="00F2323F" w:rsidRDefault="00AD228D" w:rsidP="00525003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4.1</w:t>
      </w:r>
      <w:r w:rsidR="007E22B5" w:rsidRPr="00F2323F">
        <w:rPr>
          <w:rFonts w:ascii="Arial" w:hAnsi="Arial" w:cs="Arial"/>
        </w:rPr>
        <w:tab/>
        <w:t xml:space="preserve">There is an Internal Dispute Resolution Procedure </w:t>
      </w:r>
      <w:r w:rsidR="0071656D" w:rsidRPr="00F2323F">
        <w:rPr>
          <w:rFonts w:ascii="Arial" w:hAnsi="Arial" w:cs="Arial"/>
        </w:rPr>
        <w:t xml:space="preserve">for dealing with any complaints. Initial information </w:t>
      </w:r>
      <w:r w:rsidR="00C875CB" w:rsidRPr="00F2323F">
        <w:rPr>
          <w:rFonts w:ascii="Arial" w:hAnsi="Arial" w:cs="Arial"/>
        </w:rPr>
        <w:t xml:space="preserve">on this two-stage process </w:t>
      </w:r>
      <w:r w:rsidR="0071656D" w:rsidRPr="00F2323F">
        <w:rPr>
          <w:rFonts w:ascii="Arial" w:hAnsi="Arial" w:cs="Arial"/>
        </w:rPr>
        <w:t xml:space="preserve">can be </w:t>
      </w:r>
      <w:r w:rsidR="000C4988" w:rsidRPr="00F2323F">
        <w:rPr>
          <w:rFonts w:ascii="Arial" w:hAnsi="Arial" w:cs="Arial"/>
        </w:rPr>
        <w:t xml:space="preserve">found </w:t>
      </w:r>
      <w:r w:rsidR="007E22B5" w:rsidRPr="00F2323F">
        <w:rPr>
          <w:rFonts w:ascii="Arial" w:hAnsi="Arial" w:cs="Arial"/>
        </w:rPr>
        <w:t>at:</w:t>
      </w:r>
      <w:r w:rsidR="004B6214" w:rsidRPr="00F2323F">
        <w:rPr>
          <w:rFonts w:ascii="Arial" w:hAnsi="Arial" w:cs="Arial"/>
        </w:rPr>
        <w:t xml:space="preserve"> </w:t>
      </w:r>
    </w:p>
    <w:p w14:paraId="7C64DC38" w14:textId="51D79A93" w:rsidR="00521909" w:rsidRPr="00F2323F" w:rsidRDefault="007C0311" w:rsidP="00973C48">
      <w:pPr>
        <w:pStyle w:val="NoSpacing"/>
        <w:spacing w:after="200"/>
        <w:ind w:left="720"/>
        <w:jc w:val="both"/>
        <w:rPr>
          <w:rFonts w:ascii="Arial" w:hAnsi="Arial" w:cs="Arial"/>
          <w:highlight w:val="yellow"/>
        </w:rPr>
      </w:pPr>
      <w:hyperlink r:id="rId11" w:history="1">
        <w:r w:rsidR="00E04734" w:rsidRPr="00F2323F">
          <w:rPr>
            <w:rStyle w:val="Hyperlink"/>
            <w:rFonts w:ascii="Arial" w:hAnsi="Arial" w:cs="Arial"/>
          </w:rPr>
          <w:t>http://www.wypf.org.uk/Member/Fire/IDRP/InternalDisputeResolutionPro.aspx</w:t>
        </w:r>
      </w:hyperlink>
      <w:r w:rsidR="00E04734" w:rsidRPr="00F2323F">
        <w:rPr>
          <w:rFonts w:ascii="Arial" w:hAnsi="Arial" w:cs="Arial"/>
          <w:highlight w:val="yellow"/>
        </w:rPr>
        <w:t xml:space="preserve"> </w:t>
      </w:r>
    </w:p>
    <w:p w14:paraId="5751EBAB" w14:textId="6FB0D5DF" w:rsidR="00973C48" w:rsidRPr="00F2323F" w:rsidRDefault="003D4E28" w:rsidP="00973C48">
      <w:pPr>
        <w:pStyle w:val="NoSpacing"/>
        <w:spacing w:after="200"/>
        <w:ind w:left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Since </w:t>
      </w:r>
      <w:r w:rsidR="00D47016" w:rsidRPr="00F2323F">
        <w:rPr>
          <w:rFonts w:ascii="Arial" w:hAnsi="Arial" w:cs="Arial"/>
        </w:rPr>
        <w:t xml:space="preserve">previous meeting, one new </w:t>
      </w:r>
      <w:r w:rsidR="00344CBF" w:rsidRPr="00F2323F">
        <w:rPr>
          <w:rFonts w:ascii="Arial" w:hAnsi="Arial" w:cs="Arial"/>
        </w:rPr>
        <w:t>IDRP application</w:t>
      </w:r>
      <w:r w:rsidR="00D47016" w:rsidRPr="00F2323F">
        <w:rPr>
          <w:rFonts w:ascii="Arial" w:hAnsi="Arial" w:cs="Arial"/>
        </w:rPr>
        <w:t xml:space="preserve"> has been received</w:t>
      </w:r>
      <w:r w:rsidR="00C875CB" w:rsidRPr="00F2323F">
        <w:rPr>
          <w:rFonts w:ascii="Arial" w:hAnsi="Arial" w:cs="Arial"/>
        </w:rPr>
        <w:t>.</w:t>
      </w:r>
    </w:p>
    <w:p w14:paraId="25280D94" w14:textId="51E601AE" w:rsidR="00C352C0" w:rsidRPr="00F2323F" w:rsidRDefault="000C4988" w:rsidP="00973C48">
      <w:pPr>
        <w:pStyle w:val="NoSpacing"/>
        <w:spacing w:after="200"/>
        <w:ind w:left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The case involved an imminent retiree </w:t>
      </w:r>
      <w:r w:rsidR="001B69B0" w:rsidRPr="00F2323F">
        <w:rPr>
          <w:rFonts w:ascii="Arial" w:hAnsi="Arial" w:cs="Arial"/>
        </w:rPr>
        <w:t xml:space="preserve">lodging their </w:t>
      </w:r>
      <w:r w:rsidR="007B126B" w:rsidRPr="00F2323F">
        <w:rPr>
          <w:rFonts w:ascii="Arial" w:hAnsi="Arial" w:cs="Arial"/>
        </w:rPr>
        <w:t>complaint that the remedy measures</w:t>
      </w:r>
      <w:r w:rsidR="006369A2" w:rsidRPr="00F2323F">
        <w:rPr>
          <w:rFonts w:ascii="Arial" w:hAnsi="Arial" w:cs="Arial"/>
        </w:rPr>
        <w:t xml:space="preserve"> (to treat members </w:t>
      </w:r>
      <w:r w:rsidR="00BC79CB" w:rsidRPr="00F2323F">
        <w:rPr>
          <w:rFonts w:ascii="Arial" w:hAnsi="Arial" w:cs="Arial"/>
        </w:rPr>
        <w:t xml:space="preserve">affected by the transitional protections </w:t>
      </w:r>
      <w:r w:rsidR="006369A2" w:rsidRPr="00F2323F">
        <w:rPr>
          <w:rFonts w:ascii="Arial" w:hAnsi="Arial" w:cs="Arial"/>
        </w:rPr>
        <w:t>as though they had never been taken out of the 1992 scheme)</w:t>
      </w:r>
      <w:r w:rsidR="00706B3A" w:rsidRPr="00F2323F">
        <w:rPr>
          <w:rFonts w:ascii="Arial" w:hAnsi="Arial" w:cs="Arial"/>
        </w:rPr>
        <w:t xml:space="preserve"> </w:t>
      </w:r>
      <w:proofErr w:type="gramStart"/>
      <w:r w:rsidR="00706B3A" w:rsidRPr="00F2323F">
        <w:rPr>
          <w:rFonts w:ascii="Arial" w:hAnsi="Arial" w:cs="Arial"/>
        </w:rPr>
        <w:t>haven’t</w:t>
      </w:r>
      <w:proofErr w:type="gramEnd"/>
      <w:r w:rsidR="00706B3A" w:rsidRPr="00F2323F">
        <w:rPr>
          <w:rFonts w:ascii="Arial" w:hAnsi="Arial" w:cs="Arial"/>
        </w:rPr>
        <w:t xml:space="preserve"> been applied prior to their retirement.</w:t>
      </w:r>
    </w:p>
    <w:p w14:paraId="15780B18" w14:textId="362967EF" w:rsidR="00C352C0" w:rsidRPr="00F2323F" w:rsidRDefault="006904BD" w:rsidP="00973C48">
      <w:pPr>
        <w:pStyle w:val="NoSpacing"/>
        <w:spacing w:after="200"/>
        <w:ind w:left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lastRenderedPageBreak/>
        <w:t xml:space="preserve">A </w:t>
      </w:r>
      <w:r w:rsidRPr="00E16DCB">
        <w:rPr>
          <w:rFonts w:ascii="Arial" w:hAnsi="Arial" w:cs="Arial"/>
        </w:rPr>
        <w:t xml:space="preserve">response </w:t>
      </w:r>
      <w:r w:rsidR="000B7A29" w:rsidRPr="00E16DCB">
        <w:rPr>
          <w:rFonts w:ascii="Arial" w:hAnsi="Arial" w:cs="Arial"/>
        </w:rPr>
        <w:t xml:space="preserve">was </w:t>
      </w:r>
      <w:r w:rsidRPr="00E16DCB">
        <w:rPr>
          <w:rFonts w:ascii="Arial" w:hAnsi="Arial" w:cs="Arial"/>
        </w:rPr>
        <w:t xml:space="preserve">issued </w:t>
      </w:r>
      <w:r w:rsidR="007C76CB" w:rsidRPr="00E16DCB">
        <w:rPr>
          <w:rFonts w:ascii="Arial" w:hAnsi="Arial" w:cs="Arial"/>
        </w:rPr>
        <w:t xml:space="preserve">that </w:t>
      </w:r>
      <w:r w:rsidR="00627A61" w:rsidRPr="00E16DCB">
        <w:rPr>
          <w:rFonts w:ascii="Arial" w:hAnsi="Arial" w:cs="Arial"/>
        </w:rPr>
        <w:t>acknowledges</w:t>
      </w:r>
      <w:r w:rsidR="00627A61" w:rsidRPr="00F2323F">
        <w:rPr>
          <w:rFonts w:ascii="Arial" w:hAnsi="Arial" w:cs="Arial"/>
        </w:rPr>
        <w:t xml:space="preserve"> the frustrations felt </w:t>
      </w:r>
      <w:r w:rsidR="00A1572B" w:rsidRPr="00F2323F">
        <w:rPr>
          <w:rFonts w:ascii="Arial" w:hAnsi="Arial" w:cs="Arial"/>
        </w:rPr>
        <w:t xml:space="preserve">and </w:t>
      </w:r>
      <w:r w:rsidR="00086BA2" w:rsidRPr="00F2323F">
        <w:rPr>
          <w:rFonts w:ascii="Arial" w:hAnsi="Arial" w:cs="Arial"/>
        </w:rPr>
        <w:t xml:space="preserve">confirms that all is being done to arrive at </w:t>
      </w:r>
      <w:r w:rsidR="006C1A3B" w:rsidRPr="00F2323F">
        <w:rPr>
          <w:rFonts w:ascii="Arial" w:hAnsi="Arial" w:cs="Arial"/>
        </w:rPr>
        <w:t>the promised</w:t>
      </w:r>
      <w:r w:rsidR="00086BA2" w:rsidRPr="00F2323F">
        <w:rPr>
          <w:rFonts w:ascii="Arial" w:hAnsi="Arial" w:cs="Arial"/>
        </w:rPr>
        <w:t xml:space="preserve"> outcome </w:t>
      </w:r>
      <w:r w:rsidR="00BA4AAB">
        <w:rPr>
          <w:rFonts w:ascii="Arial" w:hAnsi="Arial" w:cs="Arial"/>
        </w:rPr>
        <w:t xml:space="preserve">but, until guidance is received, </w:t>
      </w:r>
      <w:r w:rsidR="00F457EA">
        <w:rPr>
          <w:rFonts w:ascii="Arial" w:hAnsi="Arial" w:cs="Arial"/>
        </w:rPr>
        <w:t xml:space="preserve">remedy cannot be progressed.  </w:t>
      </w:r>
      <w:r w:rsidR="000A2FD2" w:rsidRPr="00F2323F">
        <w:rPr>
          <w:rFonts w:ascii="Arial" w:hAnsi="Arial" w:cs="Arial"/>
        </w:rPr>
        <w:t xml:space="preserve">The </w:t>
      </w:r>
      <w:r w:rsidR="006C1A3B" w:rsidRPr="00F2323F">
        <w:rPr>
          <w:rFonts w:ascii="Arial" w:hAnsi="Arial" w:cs="Arial"/>
        </w:rPr>
        <w:t xml:space="preserve">individual </w:t>
      </w:r>
      <w:r w:rsidR="00DF35DC">
        <w:rPr>
          <w:rFonts w:ascii="Arial" w:hAnsi="Arial" w:cs="Arial"/>
        </w:rPr>
        <w:t xml:space="preserve">has the right to </w:t>
      </w:r>
      <w:r w:rsidR="00F11AFC" w:rsidRPr="00F2323F">
        <w:rPr>
          <w:rFonts w:ascii="Arial" w:hAnsi="Arial" w:cs="Arial"/>
        </w:rPr>
        <w:t>escalate their complaint by applying to th</w:t>
      </w:r>
      <w:r w:rsidR="000A2FD2" w:rsidRPr="00F2323F">
        <w:rPr>
          <w:rFonts w:ascii="Arial" w:hAnsi="Arial" w:cs="Arial"/>
        </w:rPr>
        <w:t xml:space="preserve">e second stage </w:t>
      </w:r>
      <w:r w:rsidR="009B2E1B" w:rsidRPr="00F2323F">
        <w:rPr>
          <w:rFonts w:ascii="Arial" w:hAnsi="Arial" w:cs="Arial"/>
        </w:rPr>
        <w:t xml:space="preserve">of the process if they still </w:t>
      </w:r>
      <w:r w:rsidR="00B01F03" w:rsidRPr="00F2323F">
        <w:rPr>
          <w:rFonts w:ascii="Arial" w:hAnsi="Arial" w:cs="Arial"/>
        </w:rPr>
        <w:t>fee</w:t>
      </w:r>
      <w:r w:rsidR="009B2E1B" w:rsidRPr="00F2323F">
        <w:rPr>
          <w:rFonts w:ascii="Arial" w:hAnsi="Arial" w:cs="Arial"/>
        </w:rPr>
        <w:t>l</w:t>
      </w:r>
      <w:r w:rsidR="00B01F03" w:rsidRPr="00F2323F">
        <w:rPr>
          <w:rFonts w:ascii="Arial" w:hAnsi="Arial" w:cs="Arial"/>
        </w:rPr>
        <w:t xml:space="preserve"> aggrieved</w:t>
      </w:r>
      <w:r w:rsidR="00DF35DC">
        <w:rPr>
          <w:rFonts w:ascii="Arial" w:hAnsi="Arial" w:cs="Arial"/>
        </w:rPr>
        <w:t xml:space="preserve">, and this was pointed out </w:t>
      </w:r>
      <w:r w:rsidR="00753966">
        <w:rPr>
          <w:rFonts w:ascii="Arial" w:hAnsi="Arial" w:cs="Arial"/>
        </w:rPr>
        <w:t>within the response</w:t>
      </w:r>
      <w:r w:rsidR="00B01F03" w:rsidRPr="00F2323F">
        <w:rPr>
          <w:rFonts w:ascii="Arial" w:hAnsi="Arial" w:cs="Arial"/>
        </w:rPr>
        <w:t>.</w:t>
      </w:r>
    </w:p>
    <w:p w14:paraId="04326B2D" w14:textId="527C404A" w:rsidR="00B01F03" w:rsidRDefault="007E78F8" w:rsidP="00BB3DE3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On a related note, t</w:t>
      </w:r>
      <w:r w:rsidR="000C445D" w:rsidRPr="00F2323F">
        <w:rPr>
          <w:rFonts w:ascii="Arial" w:hAnsi="Arial" w:cs="Arial"/>
        </w:rPr>
        <w:t xml:space="preserve">he May LGA monthly bulletin </w:t>
      </w:r>
      <w:r w:rsidR="005C3D3C" w:rsidRPr="00F2323F">
        <w:rPr>
          <w:rFonts w:ascii="Arial" w:hAnsi="Arial" w:cs="Arial"/>
        </w:rPr>
        <w:t>reiterates the stance that must be adopted</w:t>
      </w:r>
      <w:r>
        <w:rPr>
          <w:rFonts w:ascii="Arial" w:hAnsi="Arial" w:cs="Arial"/>
        </w:rPr>
        <w:t xml:space="preserve"> concerning remedy</w:t>
      </w:r>
      <w:r w:rsidR="005C3D3C" w:rsidRPr="00F2323F">
        <w:rPr>
          <w:rFonts w:ascii="Arial" w:hAnsi="Arial" w:cs="Arial"/>
        </w:rPr>
        <w:t>, and gives an outline on what we can expect</w:t>
      </w:r>
      <w:r w:rsidR="00224C54" w:rsidRPr="00F2323F">
        <w:rPr>
          <w:rFonts w:ascii="Arial" w:hAnsi="Arial" w:cs="Arial"/>
        </w:rPr>
        <w:t>, i.e. members having to exercise a choice</w:t>
      </w:r>
      <w:r w:rsidR="004727A4" w:rsidRPr="00F2323F">
        <w:rPr>
          <w:rFonts w:ascii="Arial" w:hAnsi="Arial" w:cs="Arial"/>
        </w:rPr>
        <w:t>, and this is included in the ‘bulletins</w:t>
      </w:r>
      <w:r w:rsidR="00AE71C8">
        <w:rPr>
          <w:rFonts w:ascii="Arial" w:hAnsi="Arial" w:cs="Arial"/>
        </w:rPr>
        <w:t xml:space="preserve"> summary</w:t>
      </w:r>
      <w:r w:rsidR="004727A4" w:rsidRPr="00F2323F">
        <w:rPr>
          <w:rFonts w:ascii="Arial" w:hAnsi="Arial" w:cs="Arial"/>
        </w:rPr>
        <w:t>’ section of this report.</w:t>
      </w:r>
    </w:p>
    <w:p w14:paraId="03BB42C9" w14:textId="77777777" w:rsidR="00BB3DE3" w:rsidRDefault="00BB3DE3" w:rsidP="00BB3DE3">
      <w:pPr>
        <w:pStyle w:val="NoSpacing"/>
        <w:ind w:left="720"/>
        <w:jc w:val="both"/>
        <w:rPr>
          <w:rFonts w:ascii="Arial" w:hAnsi="Arial" w:cs="Arial"/>
        </w:rPr>
      </w:pPr>
    </w:p>
    <w:p w14:paraId="7E4151AF" w14:textId="77777777" w:rsidR="00027A32" w:rsidRPr="00F2323F" w:rsidRDefault="00027A32" w:rsidP="00BB3DE3">
      <w:pPr>
        <w:pStyle w:val="NoSpacing"/>
        <w:jc w:val="both"/>
        <w:rPr>
          <w:rFonts w:ascii="Arial" w:hAnsi="Arial" w:cs="Arial"/>
        </w:rPr>
      </w:pPr>
    </w:p>
    <w:p w14:paraId="660DE927" w14:textId="3FDCB6D0" w:rsidR="00C6580D" w:rsidRDefault="00133E5F" w:rsidP="00BB3DE3">
      <w:pPr>
        <w:pStyle w:val="NoSpacing"/>
        <w:ind w:left="720" w:hanging="720"/>
        <w:jc w:val="both"/>
        <w:rPr>
          <w:rFonts w:ascii="Arial" w:hAnsi="Arial" w:cs="Arial"/>
          <w:b/>
          <w:u w:val="single"/>
        </w:rPr>
      </w:pPr>
      <w:r w:rsidRPr="00F2323F">
        <w:rPr>
          <w:rFonts w:ascii="Arial" w:hAnsi="Arial" w:cs="Arial"/>
          <w:b/>
        </w:rPr>
        <w:t>5</w:t>
      </w:r>
      <w:r w:rsidR="004853A4" w:rsidRPr="00F2323F">
        <w:rPr>
          <w:rFonts w:ascii="Arial" w:hAnsi="Arial" w:cs="Arial"/>
          <w:b/>
        </w:rPr>
        <w:t>.0</w:t>
      </w:r>
      <w:r w:rsidR="004853A4" w:rsidRPr="00F2323F">
        <w:rPr>
          <w:rFonts w:ascii="Arial" w:hAnsi="Arial" w:cs="Arial"/>
          <w:b/>
        </w:rPr>
        <w:tab/>
      </w:r>
      <w:r w:rsidR="00C6580D" w:rsidRPr="00F2323F">
        <w:rPr>
          <w:rFonts w:ascii="Arial" w:hAnsi="Arial" w:cs="Arial"/>
          <w:b/>
          <w:u w:val="single"/>
        </w:rPr>
        <w:t>Pension Board Training Update</w:t>
      </w:r>
    </w:p>
    <w:p w14:paraId="115E2B46" w14:textId="77777777" w:rsidR="00000399" w:rsidRPr="00F2323F" w:rsidRDefault="00000399" w:rsidP="00BB3DE3">
      <w:pPr>
        <w:pStyle w:val="NoSpacing"/>
        <w:ind w:left="720" w:hanging="720"/>
        <w:jc w:val="both"/>
        <w:rPr>
          <w:rFonts w:ascii="Arial" w:hAnsi="Arial" w:cs="Arial"/>
        </w:rPr>
      </w:pPr>
    </w:p>
    <w:p w14:paraId="4B1C1547" w14:textId="6946571D" w:rsidR="00E80F96" w:rsidRPr="00F2323F" w:rsidRDefault="00133E5F" w:rsidP="006D793F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5</w:t>
      </w:r>
      <w:r w:rsidR="00C6580D" w:rsidRPr="00F2323F">
        <w:rPr>
          <w:rFonts w:ascii="Arial" w:hAnsi="Arial" w:cs="Arial"/>
        </w:rPr>
        <w:t>.1</w:t>
      </w:r>
      <w:r w:rsidR="00C6580D" w:rsidRPr="00F2323F">
        <w:rPr>
          <w:rFonts w:ascii="Arial" w:hAnsi="Arial" w:cs="Arial"/>
        </w:rPr>
        <w:tab/>
      </w:r>
      <w:r w:rsidR="00CF1EFE" w:rsidRPr="00F2323F">
        <w:rPr>
          <w:rFonts w:ascii="Arial" w:hAnsi="Arial" w:cs="Arial"/>
        </w:rPr>
        <w:t>Additional training scheduled for Board members:</w:t>
      </w:r>
    </w:p>
    <w:p w14:paraId="3EDCDE46" w14:textId="2628F6E2" w:rsidR="00451635" w:rsidRPr="00F2323F" w:rsidRDefault="00451635" w:rsidP="00BF1AA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LGAs annual Pension Board </w:t>
      </w:r>
      <w:r w:rsidR="00AA28BA" w:rsidRPr="00F2323F">
        <w:rPr>
          <w:rFonts w:ascii="Arial" w:hAnsi="Arial" w:cs="Arial"/>
        </w:rPr>
        <w:t xml:space="preserve">wrap-up </w:t>
      </w:r>
      <w:r w:rsidRPr="00F2323F">
        <w:rPr>
          <w:rFonts w:ascii="Arial" w:hAnsi="Arial" w:cs="Arial"/>
        </w:rPr>
        <w:t xml:space="preserve">training arranged </w:t>
      </w:r>
      <w:r w:rsidR="00AA28BA" w:rsidRPr="00F2323F">
        <w:rPr>
          <w:rFonts w:ascii="Arial" w:hAnsi="Arial" w:cs="Arial"/>
        </w:rPr>
        <w:t xml:space="preserve">to be held remotely on </w:t>
      </w:r>
      <w:r w:rsidR="001F2EE5" w:rsidRPr="00F2323F">
        <w:rPr>
          <w:rFonts w:ascii="Arial" w:hAnsi="Arial" w:cs="Arial"/>
        </w:rPr>
        <w:t xml:space="preserve">two </w:t>
      </w:r>
      <w:r w:rsidR="007F29F2" w:rsidRPr="00F2323F">
        <w:rPr>
          <w:rFonts w:ascii="Arial" w:hAnsi="Arial" w:cs="Arial"/>
        </w:rPr>
        <w:t xml:space="preserve">separate </w:t>
      </w:r>
      <w:r w:rsidR="001F2EE5" w:rsidRPr="00F2323F">
        <w:rPr>
          <w:rFonts w:ascii="Arial" w:hAnsi="Arial" w:cs="Arial"/>
        </w:rPr>
        <w:t xml:space="preserve">dates: </w:t>
      </w:r>
      <w:r w:rsidR="004E7CFC" w:rsidRPr="00F2323F">
        <w:rPr>
          <w:rFonts w:ascii="Arial" w:hAnsi="Arial" w:cs="Arial"/>
        </w:rPr>
        <w:t xml:space="preserve">10 June </w:t>
      </w:r>
      <w:r w:rsidR="000A06D6" w:rsidRPr="00F2323F">
        <w:rPr>
          <w:rFonts w:ascii="Arial" w:hAnsi="Arial" w:cs="Arial"/>
        </w:rPr>
        <w:t xml:space="preserve">and </w:t>
      </w:r>
      <w:r w:rsidR="004E7CFC" w:rsidRPr="00F2323F">
        <w:rPr>
          <w:rFonts w:ascii="Arial" w:hAnsi="Arial" w:cs="Arial"/>
        </w:rPr>
        <w:t>8 July 2020</w:t>
      </w:r>
      <w:r w:rsidR="000A06D6" w:rsidRPr="00F2323F">
        <w:rPr>
          <w:rFonts w:ascii="Arial" w:hAnsi="Arial" w:cs="Arial"/>
        </w:rPr>
        <w:t>.  V</w:t>
      </w:r>
      <w:r w:rsidR="001F2EE5" w:rsidRPr="00F2323F">
        <w:rPr>
          <w:rFonts w:ascii="Arial" w:hAnsi="Arial" w:cs="Arial"/>
        </w:rPr>
        <w:t xml:space="preserve">olunteers </w:t>
      </w:r>
      <w:r w:rsidR="000A06D6" w:rsidRPr="00F2323F">
        <w:rPr>
          <w:rFonts w:ascii="Arial" w:hAnsi="Arial" w:cs="Arial"/>
        </w:rPr>
        <w:t xml:space="preserve">were </w:t>
      </w:r>
      <w:r w:rsidR="001F2EE5" w:rsidRPr="00F2323F">
        <w:rPr>
          <w:rFonts w:ascii="Arial" w:hAnsi="Arial" w:cs="Arial"/>
        </w:rPr>
        <w:t>sought 1 June</w:t>
      </w:r>
      <w:r w:rsidR="007F29F2" w:rsidRPr="00F2323F">
        <w:rPr>
          <w:rFonts w:ascii="Arial" w:hAnsi="Arial" w:cs="Arial"/>
        </w:rPr>
        <w:t>, with the outcome being</w:t>
      </w:r>
      <w:r w:rsidR="008F237F" w:rsidRPr="00F2323F">
        <w:rPr>
          <w:rFonts w:ascii="Arial" w:hAnsi="Arial" w:cs="Arial"/>
        </w:rPr>
        <w:t>:</w:t>
      </w:r>
    </w:p>
    <w:p w14:paraId="56A63AC9" w14:textId="057FC2B2" w:rsidR="00D94B4E" w:rsidRPr="00F2323F" w:rsidRDefault="00D94B4E" w:rsidP="00D94B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Pensions Administrator/Manager attended 10 June session (slide</w:t>
      </w:r>
      <w:r w:rsidR="004B4A36" w:rsidRPr="00F2323F">
        <w:rPr>
          <w:rFonts w:ascii="Arial" w:hAnsi="Arial" w:cs="Arial"/>
        </w:rPr>
        <w:t xml:space="preserve"> deck</w:t>
      </w:r>
      <w:r w:rsidRPr="00F2323F">
        <w:rPr>
          <w:rFonts w:ascii="Arial" w:hAnsi="Arial" w:cs="Arial"/>
        </w:rPr>
        <w:t xml:space="preserve"> </w:t>
      </w:r>
      <w:r w:rsidR="004B4A36" w:rsidRPr="00F2323F">
        <w:rPr>
          <w:rFonts w:ascii="Arial" w:hAnsi="Arial" w:cs="Arial"/>
        </w:rPr>
        <w:t>to be provided</w:t>
      </w:r>
      <w:r w:rsidRPr="00F2323F">
        <w:rPr>
          <w:rFonts w:ascii="Arial" w:hAnsi="Arial" w:cs="Arial"/>
        </w:rPr>
        <w:t>)</w:t>
      </w:r>
    </w:p>
    <w:p w14:paraId="7A56D230" w14:textId="470AB82F" w:rsidR="0010574C" w:rsidRPr="00F2323F" w:rsidRDefault="0010574C" w:rsidP="00D94B4E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Board member SH has volunteered to attend </w:t>
      </w:r>
      <w:r w:rsidR="004B4A36" w:rsidRPr="00F2323F">
        <w:rPr>
          <w:rFonts w:ascii="Arial" w:hAnsi="Arial" w:cs="Arial"/>
        </w:rPr>
        <w:t xml:space="preserve">the </w:t>
      </w:r>
      <w:r w:rsidR="00376C0A" w:rsidRPr="00F2323F">
        <w:rPr>
          <w:rFonts w:ascii="Arial" w:hAnsi="Arial" w:cs="Arial"/>
        </w:rPr>
        <w:t>8 July session</w:t>
      </w:r>
    </w:p>
    <w:p w14:paraId="0DDCAB06" w14:textId="0DE90120" w:rsidR="00BF1AAF" w:rsidRPr="00F2323F" w:rsidRDefault="00BF1AAF" w:rsidP="00BF1AA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Firefighters’ Pensions AGM – 22-2</w:t>
      </w:r>
      <w:r w:rsidR="002266ED" w:rsidRPr="00F2323F">
        <w:rPr>
          <w:rFonts w:ascii="Arial" w:hAnsi="Arial" w:cs="Arial"/>
        </w:rPr>
        <w:t>3</w:t>
      </w:r>
      <w:r w:rsidRPr="00F2323F">
        <w:rPr>
          <w:rFonts w:ascii="Arial" w:hAnsi="Arial" w:cs="Arial"/>
        </w:rPr>
        <w:t xml:space="preserve"> September 2020</w:t>
      </w:r>
    </w:p>
    <w:p w14:paraId="4BEC75BF" w14:textId="7B474F0D" w:rsidR="00B21778" w:rsidRDefault="00BF1AAF" w:rsidP="00BB3D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LGAs annual Pension Board training arranged for the 19 </w:t>
      </w:r>
      <w:r w:rsidR="00B21778" w:rsidRPr="00F2323F">
        <w:rPr>
          <w:rFonts w:ascii="Arial" w:hAnsi="Arial" w:cs="Arial"/>
        </w:rPr>
        <w:t xml:space="preserve">October </w:t>
      </w:r>
      <w:r w:rsidRPr="00F2323F">
        <w:rPr>
          <w:rFonts w:ascii="Arial" w:hAnsi="Arial" w:cs="Arial"/>
        </w:rPr>
        <w:t>2020 Board meeting</w:t>
      </w:r>
      <w:r w:rsidR="00B21778" w:rsidRPr="00F2323F">
        <w:rPr>
          <w:rFonts w:ascii="Arial" w:hAnsi="Arial" w:cs="Arial"/>
        </w:rPr>
        <w:t xml:space="preserve">  </w:t>
      </w:r>
    </w:p>
    <w:p w14:paraId="79B09417" w14:textId="77777777" w:rsidR="00BB3DE3" w:rsidRPr="00F2323F" w:rsidRDefault="00BB3DE3" w:rsidP="00BB3DE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</w:p>
    <w:p w14:paraId="7953D317" w14:textId="77777777" w:rsidR="002266ED" w:rsidRPr="00F2323F" w:rsidRDefault="002266ED" w:rsidP="00BB3D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EDAB74" w14:textId="28ABF704" w:rsidR="00734925" w:rsidRPr="00F2323F" w:rsidRDefault="004E46D3" w:rsidP="00BB3DE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  <w:u w:val="single"/>
        </w:rPr>
        <w:t>Other Work Items</w:t>
      </w:r>
    </w:p>
    <w:p w14:paraId="68300A53" w14:textId="77777777" w:rsidR="007B0BD6" w:rsidRPr="00F2323F" w:rsidRDefault="007B0BD6" w:rsidP="007B0BD6">
      <w:pPr>
        <w:pStyle w:val="ListParagraph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b/>
        </w:rPr>
      </w:pPr>
    </w:p>
    <w:p w14:paraId="2073A340" w14:textId="31815D40" w:rsidR="008D4352" w:rsidRDefault="008A7342" w:rsidP="008F710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 xml:space="preserve">All monthly postings </w:t>
      </w:r>
      <w:r w:rsidR="008D4352" w:rsidRPr="00F2323F">
        <w:rPr>
          <w:rFonts w:ascii="Arial" w:hAnsi="Arial" w:cs="Arial"/>
        </w:rPr>
        <w:t xml:space="preserve">for the 2019/20 scheme year have been issued to </w:t>
      </w:r>
      <w:r w:rsidR="006135C4" w:rsidRPr="00F2323F">
        <w:rPr>
          <w:rFonts w:ascii="Arial" w:hAnsi="Arial" w:cs="Arial"/>
        </w:rPr>
        <w:t>West Yorkshire Pension Fund (</w:t>
      </w:r>
      <w:r w:rsidR="008D4352" w:rsidRPr="00F2323F">
        <w:rPr>
          <w:rFonts w:ascii="Arial" w:hAnsi="Arial" w:cs="Arial"/>
        </w:rPr>
        <w:t>WYPF</w:t>
      </w:r>
      <w:r w:rsidR="006135C4" w:rsidRPr="00F2323F">
        <w:rPr>
          <w:rFonts w:ascii="Arial" w:hAnsi="Arial" w:cs="Arial"/>
        </w:rPr>
        <w:t>)</w:t>
      </w:r>
      <w:r w:rsidR="008D4352" w:rsidRPr="00F2323F">
        <w:rPr>
          <w:rFonts w:ascii="Arial" w:hAnsi="Arial" w:cs="Arial"/>
        </w:rPr>
        <w:t xml:space="preserve">.  </w:t>
      </w:r>
      <w:r w:rsidR="00A947EB" w:rsidRPr="00F2323F">
        <w:rPr>
          <w:rFonts w:ascii="Arial" w:hAnsi="Arial" w:cs="Arial"/>
        </w:rPr>
        <w:t xml:space="preserve">WYPF assisted the Pensions Administrator/Manager </w:t>
      </w:r>
      <w:r w:rsidR="00434250" w:rsidRPr="00F2323F">
        <w:rPr>
          <w:rFonts w:ascii="Arial" w:hAnsi="Arial" w:cs="Arial"/>
        </w:rPr>
        <w:t xml:space="preserve">by highlighting certain omissions from earlier months.  Whilst these </w:t>
      </w:r>
      <w:r w:rsidR="00936854" w:rsidRPr="00F2323F">
        <w:rPr>
          <w:rFonts w:ascii="Arial" w:hAnsi="Arial" w:cs="Arial"/>
        </w:rPr>
        <w:t>shortfalls in the payroll reports have been reported</w:t>
      </w:r>
      <w:r w:rsidR="00532050" w:rsidRPr="00F2323F">
        <w:rPr>
          <w:rFonts w:ascii="Arial" w:hAnsi="Arial" w:cs="Arial"/>
        </w:rPr>
        <w:t xml:space="preserve"> to North Yorkshire County Council</w:t>
      </w:r>
      <w:r w:rsidR="00936854" w:rsidRPr="00F2323F">
        <w:rPr>
          <w:rFonts w:ascii="Arial" w:hAnsi="Arial" w:cs="Arial"/>
        </w:rPr>
        <w:t xml:space="preserve">, the Pensions Administrator/Manager has introduced additional </w:t>
      </w:r>
      <w:r w:rsidR="001876BE" w:rsidRPr="00F2323F">
        <w:rPr>
          <w:rFonts w:ascii="Arial" w:hAnsi="Arial" w:cs="Arial"/>
        </w:rPr>
        <w:t>data checks that compare</w:t>
      </w:r>
      <w:r w:rsidR="00E454D3" w:rsidRPr="00F2323F">
        <w:rPr>
          <w:rFonts w:ascii="Arial" w:hAnsi="Arial" w:cs="Arial"/>
        </w:rPr>
        <w:t>s</w:t>
      </w:r>
      <w:r w:rsidR="001876BE" w:rsidRPr="00F2323F">
        <w:rPr>
          <w:rFonts w:ascii="Arial" w:hAnsi="Arial" w:cs="Arial"/>
        </w:rPr>
        <w:t xml:space="preserve"> the scheme members, and their pay, to the previous </w:t>
      </w:r>
      <w:r w:rsidR="00964366" w:rsidRPr="00F2323F">
        <w:rPr>
          <w:rFonts w:ascii="Arial" w:hAnsi="Arial" w:cs="Arial"/>
        </w:rPr>
        <w:t>pay period.</w:t>
      </w:r>
      <w:r w:rsidR="00EE729C" w:rsidRPr="00F2323F">
        <w:rPr>
          <w:rFonts w:ascii="Arial" w:hAnsi="Arial" w:cs="Arial"/>
        </w:rPr>
        <w:t xml:space="preserve">  </w:t>
      </w:r>
      <w:r w:rsidR="00737327" w:rsidRPr="00F2323F">
        <w:rPr>
          <w:rFonts w:ascii="Arial" w:hAnsi="Arial" w:cs="Arial"/>
        </w:rPr>
        <w:t xml:space="preserve">Other improvements, such as refining Firewatch reports to show </w:t>
      </w:r>
      <w:r w:rsidR="00A157CD" w:rsidRPr="00F2323F">
        <w:rPr>
          <w:rFonts w:ascii="Arial" w:hAnsi="Arial" w:cs="Arial"/>
        </w:rPr>
        <w:t xml:space="preserve">an individual’s substantive role / competency level, should result in the </w:t>
      </w:r>
      <w:r w:rsidR="00BA060D" w:rsidRPr="00F2323F">
        <w:rPr>
          <w:rFonts w:ascii="Arial" w:hAnsi="Arial" w:cs="Arial"/>
        </w:rPr>
        <w:t xml:space="preserve">correct role being reflected on the annual benefit statements (something that </w:t>
      </w:r>
      <w:r w:rsidR="002E2CD5" w:rsidRPr="00F2323F">
        <w:rPr>
          <w:rFonts w:ascii="Arial" w:hAnsi="Arial" w:cs="Arial"/>
        </w:rPr>
        <w:t>has been an issue previously).</w:t>
      </w:r>
    </w:p>
    <w:p w14:paraId="4AE3367E" w14:textId="28A54C51" w:rsidR="00A61D81" w:rsidRDefault="00A61D81" w:rsidP="00A61D81">
      <w:pPr>
        <w:pStyle w:val="ListParagraph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</w:p>
    <w:p w14:paraId="686D9AC3" w14:textId="39C6C19E" w:rsidR="00A61D81" w:rsidRPr="00F2323F" w:rsidRDefault="00A61D81" w:rsidP="00A61D81">
      <w:pPr>
        <w:pStyle w:val="ListParagraph"/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Moving to </w:t>
      </w:r>
      <w:r w:rsidR="009449FA">
        <w:rPr>
          <w:rFonts w:ascii="Arial" w:hAnsi="Arial" w:cs="Arial"/>
        </w:rPr>
        <w:t xml:space="preserve">monthly postings of data has already </w:t>
      </w:r>
      <w:r w:rsidR="009F4739">
        <w:rPr>
          <w:rFonts w:ascii="Arial" w:hAnsi="Arial" w:cs="Arial"/>
        </w:rPr>
        <w:t xml:space="preserve">proved worthwhile from a data cleansing perspective.  </w:t>
      </w:r>
      <w:r w:rsidR="00E86E14">
        <w:rPr>
          <w:rFonts w:ascii="Arial" w:hAnsi="Arial" w:cs="Arial"/>
        </w:rPr>
        <w:t xml:space="preserve">Cases where the addresses (and National Insurance numbers) differ between Firewatch and </w:t>
      </w:r>
      <w:proofErr w:type="spellStart"/>
      <w:r w:rsidR="00E86E14">
        <w:rPr>
          <w:rFonts w:ascii="Arial" w:hAnsi="Arial" w:cs="Arial"/>
        </w:rPr>
        <w:t>Resourcelink</w:t>
      </w:r>
      <w:proofErr w:type="spellEnd"/>
      <w:r w:rsidR="00C248BD">
        <w:rPr>
          <w:rFonts w:ascii="Arial" w:hAnsi="Arial" w:cs="Arial"/>
        </w:rPr>
        <w:t xml:space="preserve"> (the payroll system) have already been </w:t>
      </w:r>
      <w:r w:rsidR="003217C3">
        <w:rPr>
          <w:rFonts w:ascii="Arial" w:hAnsi="Arial" w:cs="Arial"/>
        </w:rPr>
        <w:t xml:space="preserve">investigated by CAO, with the individual member asked for confirmation in many cases.  </w:t>
      </w:r>
      <w:r w:rsidR="000F2AC6">
        <w:rPr>
          <w:rFonts w:ascii="Arial" w:hAnsi="Arial" w:cs="Arial"/>
        </w:rPr>
        <w:t xml:space="preserve">In addition, </w:t>
      </w:r>
      <w:r w:rsidR="004246B8">
        <w:rPr>
          <w:rFonts w:ascii="Arial" w:hAnsi="Arial" w:cs="Arial"/>
        </w:rPr>
        <w:t xml:space="preserve">other issues – such as a member who should have transitioned </w:t>
      </w:r>
      <w:r w:rsidR="005568D9">
        <w:rPr>
          <w:rFonts w:ascii="Arial" w:hAnsi="Arial" w:cs="Arial"/>
        </w:rPr>
        <w:t xml:space="preserve">into the 2015 scheme, along with an on-call member who continued to be paid after leaving the Service, were picked up </w:t>
      </w:r>
      <w:r w:rsidR="00D55E69">
        <w:rPr>
          <w:rFonts w:ascii="Arial" w:hAnsi="Arial" w:cs="Arial"/>
        </w:rPr>
        <w:t>far sooner than they would have been had the posting of data still been on an annual basis.</w:t>
      </w:r>
    </w:p>
    <w:p w14:paraId="7E549673" w14:textId="7052874D" w:rsidR="00A22870" w:rsidRPr="00F2323F" w:rsidRDefault="00A25CCD" w:rsidP="00A22870">
      <w:pPr>
        <w:pStyle w:val="NoSpacing"/>
        <w:numPr>
          <w:ilvl w:val="1"/>
          <w:numId w:val="18"/>
        </w:numPr>
        <w:spacing w:after="200"/>
        <w:ind w:left="709" w:hanging="709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A pensions i</w:t>
      </w:r>
      <w:r w:rsidR="00A22870" w:rsidRPr="00F2323F">
        <w:rPr>
          <w:rFonts w:ascii="Arial" w:hAnsi="Arial" w:cs="Arial"/>
        </w:rPr>
        <w:t>nduction session</w:t>
      </w:r>
      <w:r w:rsidR="005D79DB" w:rsidRPr="00F2323F">
        <w:rPr>
          <w:rFonts w:ascii="Arial" w:hAnsi="Arial" w:cs="Arial"/>
        </w:rPr>
        <w:t xml:space="preserve"> was rolled-out </w:t>
      </w:r>
      <w:r w:rsidR="00DE3548" w:rsidRPr="00F2323F">
        <w:rPr>
          <w:rFonts w:ascii="Arial" w:hAnsi="Arial" w:cs="Arial"/>
        </w:rPr>
        <w:t xml:space="preserve">via Microsoft Teams </w:t>
      </w:r>
      <w:r w:rsidR="005D79DB" w:rsidRPr="00F2323F">
        <w:rPr>
          <w:rFonts w:ascii="Arial" w:hAnsi="Arial" w:cs="Arial"/>
        </w:rPr>
        <w:t>to the January 2020 wholetime recruits</w:t>
      </w:r>
      <w:r w:rsidR="003A0ECC" w:rsidRPr="00F2323F">
        <w:rPr>
          <w:rFonts w:ascii="Arial" w:hAnsi="Arial" w:cs="Arial"/>
        </w:rPr>
        <w:t xml:space="preserve">.  These took place on four dates during May / </w:t>
      </w:r>
      <w:proofErr w:type="gramStart"/>
      <w:r w:rsidR="003A0ECC" w:rsidRPr="00F2323F">
        <w:rPr>
          <w:rFonts w:ascii="Arial" w:hAnsi="Arial" w:cs="Arial"/>
        </w:rPr>
        <w:t>June</w:t>
      </w:r>
      <w:r w:rsidR="00CE79E3" w:rsidRPr="00F2323F">
        <w:rPr>
          <w:rFonts w:ascii="Arial" w:hAnsi="Arial" w:cs="Arial"/>
        </w:rPr>
        <w:t>, and</w:t>
      </w:r>
      <w:proofErr w:type="gramEnd"/>
      <w:r w:rsidR="00CE79E3" w:rsidRPr="00F2323F">
        <w:rPr>
          <w:rFonts w:ascii="Arial" w:hAnsi="Arial" w:cs="Arial"/>
        </w:rPr>
        <w:t xml:space="preserve"> covered such things as an overview of the benefits available </w:t>
      </w:r>
      <w:r w:rsidR="000D4846" w:rsidRPr="00F2323F">
        <w:rPr>
          <w:rFonts w:ascii="Arial" w:hAnsi="Arial" w:cs="Arial"/>
        </w:rPr>
        <w:t>(to the individual and their loved ones) as well as what needed to be done to transfer-in previous pension benefits</w:t>
      </w:r>
      <w:r w:rsidR="002204EB" w:rsidRPr="00F2323F">
        <w:rPr>
          <w:rFonts w:ascii="Arial" w:hAnsi="Arial" w:cs="Arial"/>
        </w:rPr>
        <w:t xml:space="preserve">.  </w:t>
      </w:r>
    </w:p>
    <w:p w14:paraId="79A3AAF7" w14:textId="7A345483" w:rsidR="008F7101" w:rsidRPr="00E40C0D" w:rsidRDefault="00884C12" w:rsidP="00A22870">
      <w:pPr>
        <w:pStyle w:val="NoSpacing"/>
        <w:numPr>
          <w:ilvl w:val="1"/>
          <w:numId w:val="18"/>
        </w:numPr>
        <w:spacing w:after="200"/>
        <w:ind w:left="709" w:hanging="709"/>
        <w:jc w:val="both"/>
        <w:rPr>
          <w:rFonts w:ascii="Arial" w:hAnsi="Arial" w:cs="Arial"/>
        </w:rPr>
      </w:pPr>
      <w:r w:rsidRPr="00E40C0D">
        <w:rPr>
          <w:rFonts w:ascii="Arial" w:hAnsi="Arial" w:cs="Arial"/>
        </w:rPr>
        <w:t>Since the previous meeting, t</w:t>
      </w:r>
      <w:r w:rsidR="00012DD0" w:rsidRPr="00E40C0D">
        <w:rPr>
          <w:rFonts w:ascii="Arial" w:hAnsi="Arial" w:cs="Arial"/>
        </w:rPr>
        <w:t>he p</w:t>
      </w:r>
      <w:r w:rsidR="008F7101" w:rsidRPr="00E40C0D">
        <w:rPr>
          <w:rFonts w:ascii="Arial" w:hAnsi="Arial" w:cs="Arial"/>
        </w:rPr>
        <w:t>re-retirement seminar</w:t>
      </w:r>
      <w:r w:rsidRPr="00E40C0D">
        <w:rPr>
          <w:rFonts w:ascii="Arial" w:hAnsi="Arial" w:cs="Arial"/>
        </w:rPr>
        <w:t xml:space="preserve"> scheduled for 21 May was cancelled and </w:t>
      </w:r>
      <w:r w:rsidR="001E402E" w:rsidRPr="00E40C0D">
        <w:rPr>
          <w:rFonts w:ascii="Arial" w:hAnsi="Arial" w:cs="Arial"/>
        </w:rPr>
        <w:t xml:space="preserve">re-booked for 1 September.  Whilst </w:t>
      </w:r>
      <w:proofErr w:type="gramStart"/>
      <w:r w:rsidR="001E402E" w:rsidRPr="00E40C0D">
        <w:rPr>
          <w:rFonts w:ascii="Arial" w:hAnsi="Arial" w:cs="Arial"/>
        </w:rPr>
        <w:t>it’s</w:t>
      </w:r>
      <w:proofErr w:type="gramEnd"/>
      <w:r w:rsidR="001E402E" w:rsidRPr="00E40C0D">
        <w:rPr>
          <w:rFonts w:ascii="Arial" w:hAnsi="Arial" w:cs="Arial"/>
        </w:rPr>
        <w:t xml:space="preserve"> uncertain </w:t>
      </w:r>
      <w:r w:rsidR="001F6A11" w:rsidRPr="00E40C0D">
        <w:rPr>
          <w:rFonts w:ascii="Arial" w:hAnsi="Arial" w:cs="Arial"/>
        </w:rPr>
        <w:t xml:space="preserve">whether social distancing will still be in situ </w:t>
      </w:r>
      <w:r w:rsidR="00AF01C4" w:rsidRPr="00E40C0D">
        <w:rPr>
          <w:rFonts w:ascii="Arial" w:hAnsi="Arial" w:cs="Arial"/>
        </w:rPr>
        <w:t xml:space="preserve">on </w:t>
      </w:r>
      <w:r w:rsidR="001E402E" w:rsidRPr="00E40C0D">
        <w:rPr>
          <w:rFonts w:ascii="Arial" w:hAnsi="Arial" w:cs="Arial"/>
        </w:rPr>
        <w:t>that date</w:t>
      </w:r>
      <w:r w:rsidR="00AF01C4" w:rsidRPr="00E40C0D">
        <w:rPr>
          <w:rFonts w:ascii="Arial" w:hAnsi="Arial" w:cs="Arial"/>
        </w:rPr>
        <w:t xml:space="preserve">, measures are now in place </w:t>
      </w:r>
      <w:r w:rsidR="00277CA8" w:rsidRPr="00E40C0D">
        <w:rPr>
          <w:rFonts w:ascii="Arial" w:hAnsi="Arial" w:cs="Arial"/>
        </w:rPr>
        <w:t xml:space="preserve">that will enable </w:t>
      </w:r>
      <w:r w:rsidR="00277CA8" w:rsidRPr="00E40C0D">
        <w:rPr>
          <w:rFonts w:ascii="Arial" w:hAnsi="Arial" w:cs="Arial"/>
        </w:rPr>
        <w:lastRenderedPageBreak/>
        <w:t>the event to proceed in a webinar format</w:t>
      </w:r>
      <w:r w:rsidR="00925BE4" w:rsidRPr="00E40C0D">
        <w:rPr>
          <w:rFonts w:ascii="Arial" w:hAnsi="Arial" w:cs="Arial"/>
        </w:rPr>
        <w:t xml:space="preserve"> should it come to that.  The Pensions Administrator/Manager will </w:t>
      </w:r>
      <w:r w:rsidR="005E7C60" w:rsidRPr="00E40C0D">
        <w:rPr>
          <w:rFonts w:ascii="Arial" w:hAnsi="Arial" w:cs="Arial"/>
        </w:rPr>
        <w:t xml:space="preserve">liaise with the pension board during mid-July </w:t>
      </w:r>
      <w:r w:rsidR="00966CAC" w:rsidRPr="00E40C0D">
        <w:rPr>
          <w:rFonts w:ascii="Arial" w:hAnsi="Arial" w:cs="Arial"/>
        </w:rPr>
        <w:t>as to how the event should proceed.</w:t>
      </w:r>
    </w:p>
    <w:p w14:paraId="3E437F88" w14:textId="4B112C32" w:rsidR="00D71A60" w:rsidRPr="00A92129" w:rsidRDefault="005B193E" w:rsidP="00A9212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</w:rPr>
      </w:pPr>
      <w:r w:rsidRPr="00B47841">
        <w:rPr>
          <w:rFonts w:ascii="Arial" w:hAnsi="Arial" w:cs="Arial"/>
        </w:rPr>
        <w:t>A couple of communications were issued to scheme members</w:t>
      </w:r>
      <w:r w:rsidR="003F0F38" w:rsidRPr="00B47841">
        <w:rPr>
          <w:rFonts w:ascii="Arial" w:hAnsi="Arial" w:cs="Arial"/>
        </w:rPr>
        <w:t xml:space="preserve"> since the previous meeting.  An article concerning </w:t>
      </w:r>
      <w:r w:rsidR="00D34373" w:rsidRPr="00B47841">
        <w:rPr>
          <w:rFonts w:ascii="Arial" w:hAnsi="Arial" w:cs="Arial"/>
        </w:rPr>
        <w:t xml:space="preserve">the importance of up-to-date address, marital </w:t>
      </w:r>
      <w:proofErr w:type="gramStart"/>
      <w:r w:rsidR="00D34373" w:rsidRPr="00B47841">
        <w:rPr>
          <w:rFonts w:ascii="Arial" w:hAnsi="Arial" w:cs="Arial"/>
        </w:rPr>
        <w:t>status</w:t>
      </w:r>
      <w:proofErr w:type="gramEnd"/>
      <w:r w:rsidR="00D34373" w:rsidRPr="00B47841">
        <w:rPr>
          <w:rFonts w:ascii="Arial" w:hAnsi="Arial" w:cs="Arial"/>
        </w:rPr>
        <w:t xml:space="preserve"> and nomination </w:t>
      </w:r>
      <w:r w:rsidR="002F2558" w:rsidRPr="00B47841">
        <w:rPr>
          <w:rFonts w:ascii="Arial" w:hAnsi="Arial" w:cs="Arial"/>
        </w:rPr>
        <w:t xml:space="preserve">beneficiary details (for death benefits) was published in the May monthly bulletin, along </w:t>
      </w:r>
      <w:r w:rsidR="00F937F9" w:rsidRPr="00B47841">
        <w:rPr>
          <w:rFonts w:ascii="Arial" w:hAnsi="Arial" w:cs="Arial"/>
        </w:rPr>
        <w:t xml:space="preserve">with the link to the video advertising </w:t>
      </w:r>
      <w:r w:rsidR="003B1DF8" w:rsidRPr="00B47841">
        <w:rPr>
          <w:rFonts w:ascii="Arial" w:hAnsi="Arial" w:cs="Arial"/>
        </w:rPr>
        <w:t>WYPF</w:t>
      </w:r>
      <w:r w:rsidR="00F937F9" w:rsidRPr="00B47841">
        <w:rPr>
          <w:rFonts w:ascii="Arial" w:hAnsi="Arial" w:cs="Arial"/>
        </w:rPr>
        <w:t>s ‘</w:t>
      </w:r>
      <w:proofErr w:type="spellStart"/>
      <w:r w:rsidR="00F937F9" w:rsidRPr="00B47841">
        <w:rPr>
          <w:rFonts w:ascii="Arial" w:hAnsi="Arial" w:cs="Arial"/>
        </w:rPr>
        <w:t>mypension</w:t>
      </w:r>
      <w:proofErr w:type="spellEnd"/>
      <w:r w:rsidR="00F937F9" w:rsidRPr="00B47841">
        <w:rPr>
          <w:rFonts w:ascii="Arial" w:hAnsi="Arial" w:cs="Arial"/>
        </w:rPr>
        <w:t xml:space="preserve">’ online service </w:t>
      </w:r>
      <w:r w:rsidR="005313BC" w:rsidRPr="00B47841">
        <w:rPr>
          <w:rFonts w:ascii="Arial" w:hAnsi="Arial" w:cs="Arial"/>
        </w:rPr>
        <w:t>issued in June</w:t>
      </w:r>
      <w:r w:rsidR="003B1DF8" w:rsidRPr="00B47841">
        <w:rPr>
          <w:rFonts w:ascii="Arial" w:hAnsi="Arial" w:cs="Arial"/>
        </w:rPr>
        <w:t>.</w:t>
      </w:r>
    </w:p>
    <w:p w14:paraId="617DE98B" w14:textId="52FE0C5B" w:rsidR="00A92129" w:rsidRDefault="00C62140" w:rsidP="00A92129">
      <w:pPr>
        <w:pStyle w:val="NoSpacing"/>
        <w:numPr>
          <w:ilvl w:val="1"/>
          <w:numId w:val="18"/>
        </w:numPr>
        <w:spacing w:after="20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reported at the previous meeting, there are </w:t>
      </w:r>
      <w:r w:rsidR="00E9748C">
        <w:rPr>
          <w:rFonts w:ascii="Arial" w:hAnsi="Arial" w:cs="Arial"/>
        </w:rPr>
        <w:t xml:space="preserve">a range of </w:t>
      </w:r>
      <w:proofErr w:type="spellStart"/>
      <w:r w:rsidR="00E9748C">
        <w:rPr>
          <w:rFonts w:ascii="Arial" w:hAnsi="Arial" w:cs="Arial"/>
        </w:rPr>
        <w:t>of</w:t>
      </w:r>
      <w:proofErr w:type="spellEnd"/>
      <w:r w:rsidR="00E9748C">
        <w:rPr>
          <w:rFonts w:ascii="Arial" w:hAnsi="Arial" w:cs="Arial"/>
        </w:rPr>
        <w:t xml:space="preserve"> tax-related events that need notifying (along with the tax paid!) to </w:t>
      </w:r>
      <w:r w:rsidR="00A92129">
        <w:rPr>
          <w:rFonts w:ascii="Arial" w:hAnsi="Arial" w:cs="Arial"/>
        </w:rPr>
        <w:t xml:space="preserve">HMRC </w:t>
      </w:r>
      <w:r w:rsidR="00464319">
        <w:rPr>
          <w:rFonts w:ascii="Arial" w:hAnsi="Arial" w:cs="Arial"/>
        </w:rPr>
        <w:t>either quarterly or annually, depending on the event.</w:t>
      </w:r>
      <w:r w:rsidR="00A94E8F">
        <w:rPr>
          <w:rFonts w:ascii="Arial" w:hAnsi="Arial" w:cs="Arial"/>
        </w:rPr>
        <w:t xml:space="preserve">  Examples include </w:t>
      </w:r>
      <w:r w:rsidR="00A92129">
        <w:rPr>
          <w:rFonts w:ascii="Arial" w:hAnsi="Arial" w:cs="Arial"/>
        </w:rPr>
        <w:t>annual allowance tax breach payments, and ‘unauthorised’ lump sum payments from the 1992 scheme.</w:t>
      </w:r>
    </w:p>
    <w:p w14:paraId="367571E8" w14:textId="3E6ABD58" w:rsidR="00A92129" w:rsidRDefault="00A92129" w:rsidP="00A92129">
      <w:pPr>
        <w:pStyle w:val="NoSpacing"/>
        <w:spacing w:after="20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administration function, WYPF </w:t>
      </w:r>
      <w:r w:rsidR="008B7BFE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 xml:space="preserve">undertake these tax duties </w:t>
      </w:r>
      <w:r w:rsidR="008B7BFE">
        <w:rPr>
          <w:rFonts w:ascii="Arial" w:hAnsi="Arial" w:cs="Arial"/>
        </w:rPr>
        <w:t xml:space="preserve">on our behalf, with the first instance </w:t>
      </w:r>
      <w:r w:rsidR="00D473EE">
        <w:rPr>
          <w:rFonts w:ascii="Arial" w:hAnsi="Arial" w:cs="Arial"/>
        </w:rPr>
        <w:t>being the quarterly accounting for tax return in mid-May</w:t>
      </w:r>
      <w:r>
        <w:rPr>
          <w:rFonts w:ascii="Arial" w:hAnsi="Arial" w:cs="Arial"/>
        </w:rPr>
        <w:t>.</w:t>
      </w:r>
    </w:p>
    <w:p w14:paraId="71DC5382" w14:textId="6F65FC49" w:rsidR="0012686C" w:rsidRPr="004C009F" w:rsidRDefault="00BD7C33" w:rsidP="00D350E9">
      <w:pPr>
        <w:pStyle w:val="NoSpacing"/>
        <w:numPr>
          <w:ilvl w:val="1"/>
          <w:numId w:val="18"/>
        </w:numPr>
        <w:spacing w:after="200"/>
        <w:ind w:left="709" w:hanging="709"/>
        <w:jc w:val="both"/>
        <w:rPr>
          <w:rFonts w:ascii="Arial" w:hAnsi="Arial" w:cs="Arial"/>
        </w:rPr>
      </w:pPr>
      <w:r w:rsidRPr="004C009F">
        <w:rPr>
          <w:rFonts w:ascii="Arial" w:hAnsi="Arial" w:cs="Arial"/>
        </w:rPr>
        <w:t xml:space="preserve">At the previous meeting, the </w:t>
      </w:r>
      <w:r w:rsidR="00803B3C" w:rsidRPr="004C009F">
        <w:rPr>
          <w:rFonts w:ascii="Arial" w:hAnsi="Arial" w:cs="Arial"/>
        </w:rPr>
        <w:t xml:space="preserve">Pensions Administrator/Manager included </w:t>
      </w:r>
      <w:r w:rsidR="0065194E" w:rsidRPr="004C009F">
        <w:rPr>
          <w:rFonts w:ascii="Arial" w:hAnsi="Arial" w:cs="Arial"/>
        </w:rPr>
        <w:t>the first draft of his a</w:t>
      </w:r>
      <w:r w:rsidR="0012686C" w:rsidRPr="004C009F">
        <w:rPr>
          <w:rFonts w:ascii="Arial" w:hAnsi="Arial" w:cs="Arial"/>
        </w:rPr>
        <w:t>nnual report</w:t>
      </w:r>
      <w:r w:rsidR="0065194E" w:rsidRPr="004C009F">
        <w:rPr>
          <w:rFonts w:ascii="Arial" w:hAnsi="Arial" w:cs="Arial"/>
        </w:rPr>
        <w:t xml:space="preserve">; </w:t>
      </w:r>
      <w:r w:rsidR="00135ED1" w:rsidRPr="004C009F">
        <w:rPr>
          <w:rFonts w:ascii="Arial" w:hAnsi="Arial" w:cs="Arial"/>
        </w:rPr>
        <w:t xml:space="preserve">a document </w:t>
      </w:r>
      <w:r w:rsidR="00A919B8" w:rsidRPr="004C009F">
        <w:rPr>
          <w:rFonts w:ascii="Arial" w:hAnsi="Arial" w:cs="Arial"/>
        </w:rPr>
        <w:t>new to North Yorkshire Fire and Rescue Service</w:t>
      </w:r>
      <w:r w:rsidR="004B6253" w:rsidRPr="004C009F">
        <w:rPr>
          <w:rFonts w:ascii="Arial" w:hAnsi="Arial" w:cs="Arial"/>
        </w:rPr>
        <w:t xml:space="preserve">, but </w:t>
      </w:r>
      <w:r w:rsidR="00135ED1" w:rsidRPr="004C009F">
        <w:rPr>
          <w:rFonts w:ascii="Arial" w:hAnsi="Arial" w:cs="Arial"/>
        </w:rPr>
        <w:t xml:space="preserve">considered to be best practice </w:t>
      </w:r>
      <w:r w:rsidR="00A919B8" w:rsidRPr="004C009F">
        <w:rPr>
          <w:rFonts w:ascii="Arial" w:hAnsi="Arial" w:cs="Arial"/>
        </w:rPr>
        <w:t xml:space="preserve">by the Scheme Advisory Board </w:t>
      </w:r>
      <w:r w:rsidR="00135ED1" w:rsidRPr="004C009F">
        <w:rPr>
          <w:rFonts w:ascii="Arial" w:hAnsi="Arial" w:cs="Arial"/>
        </w:rPr>
        <w:t>a</w:t>
      </w:r>
      <w:r w:rsidR="004B6253" w:rsidRPr="004C009F">
        <w:rPr>
          <w:rFonts w:ascii="Arial" w:hAnsi="Arial" w:cs="Arial"/>
        </w:rPr>
        <w:t>s</w:t>
      </w:r>
      <w:r w:rsidR="00135ED1" w:rsidRPr="004C009F">
        <w:rPr>
          <w:rFonts w:ascii="Arial" w:hAnsi="Arial" w:cs="Arial"/>
        </w:rPr>
        <w:t xml:space="preserve"> it covers the constitutions and format of meetings, </w:t>
      </w:r>
      <w:r w:rsidR="004B6253" w:rsidRPr="004C009F">
        <w:rPr>
          <w:rFonts w:ascii="Arial" w:hAnsi="Arial" w:cs="Arial"/>
        </w:rPr>
        <w:t xml:space="preserve">along with </w:t>
      </w:r>
      <w:r w:rsidR="00135ED1" w:rsidRPr="004C009F">
        <w:rPr>
          <w:rFonts w:ascii="Arial" w:hAnsi="Arial" w:cs="Arial"/>
        </w:rPr>
        <w:t>training etc.</w:t>
      </w:r>
      <w:r w:rsidR="004B6253" w:rsidRPr="004C009F">
        <w:rPr>
          <w:rFonts w:ascii="Arial" w:hAnsi="Arial" w:cs="Arial"/>
        </w:rPr>
        <w:t xml:space="preserve">  </w:t>
      </w:r>
      <w:r w:rsidR="00190C4B" w:rsidRPr="004C009F">
        <w:rPr>
          <w:rFonts w:ascii="Arial" w:hAnsi="Arial" w:cs="Arial"/>
        </w:rPr>
        <w:t xml:space="preserve">The Pensions Administrator/Manager was asked to </w:t>
      </w:r>
      <w:r w:rsidR="0068642D" w:rsidRPr="004C009F">
        <w:rPr>
          <w:rFonts w:ascii="Arial" w:hAnsi="Arial" w:cs="Arial"/>
        </w:rPr>
        <w:t xml:space="preserve">update the report, with </w:t>
      </w:r>
      <w:r w:rsidR="007914C4" w:rsidRPr="004C009F">
        <w:rPr>
          <w:rFonts w:ascii="Arial" w:hAnsi="Arial" w:cs="Arial"/>
        </w:rPr>
        <w:t>the</w:t>
      </w:r>
      <w:r w:rsidR="0068642D" w:rsidRPr="004C009F">
        <w:rPr>
          <w:rFonts w:ascii="Arial" w:hAnsi="Arial" w:cs="Arial"/>
        </w:rPr>
        <w:t xml:space="preserve"> view </w:t>
      </w:r>
      <w:r w:rsidR="007914C4" w:rsidRPr="004C009F">
        <w:rPr>
          <w:rFonts w:ascii="Arial" w:hAnsi="Arial" w:cs="Arial"/>
        </w:rPr>
        <w:t>of it being agreed and</w:t>
      </w:r>
      <w:r w:rsidR="00F546A9" w:rsidRPr="004C009F">
        <w:rPr>
          <w:rFonts w:ascii="Arial" w:hAnsi="Arial" w:cs="Arial"/>
        </w:rPr>
        <w:t xml:space="preserve"> a copy provided to the Independent Joint Audit Committee.</w:t>
      </w:r>
    </w:p>
    <w:p w14:paraId="03469502" w14:textId="2C6966A9" w:rsidR="003C5B6C" w:rsidRPr="00B8287B" w:rsidRDefault="009E5FB5" w:rsidP="003C5B6C">
      <w:pPr>
        <w:pStyle w:val="PlainText"/>
        <w:numPr>
          <w:ilvl w:val="1"/>
          <w:numId w:val="18"/>
        </w:numPr>
        <w:spacing w:after="240"/>
        <w:ind w:left="709" w:hanging="709"/>
        <w:jc w:val="both"/>
        <w:rPr>
          <w:rFonts w:ascii="Arial" w:hAnsi="Arial" w:cs="Arial"/>
          <w:szCs w:val="22"/>
        </w:rPr>
      </w:pPr>
      <w:r w:rsidRPr="00B8287B">
        <w:rPr>
          <w:rFonts w:ascii="Arial" w:eastAsia="Times New Roman" w:hAnsi="Arial" w:cs="Arial"/>
          <w:szCs w:val="22"/>
        </w:rPr>
        <w:t>A</w:t>
      </w:r>
      <w:r w:rsidR="007B47FF" w:rsidRPr="00B8287B">
        <w:rPr>
          <w:rFonts w:ascii="Arial" w:eastAsia="Times New Roman" w:hAnsi="Arial" w:cs="Arial"/>
          <w:szCs w:val="22"/>
        </w:rPr>
        <w:t xml:space="preserve">ttempts to fill the substitute </w:t>
      </w:r>
      <w:r w:rsidR="00A30D6C" w:rsidRPr="00B8287B">
        <w:rPr>
          <w:rFonts w:ascii="Arial" w:eastAsia="Times New Roman" w:hAnsi="Arial" w:cs="Arial"/>
          <w:szCs w:val="22"/>
        </w:rPr>
        <w:t xml:space="preserve">member vacancy has proved unsuccessful; </w:t>
      </w:r>
      <w:r w:rsidR="004657CD" w:rsidRPr="00B8287B">
        <w:rPr>
          <w:rFonts w:ascii="Arial" w:eastAsia="Times New Roman" w:hAnsi="Arial" w:cs="Arial"/>
          <w:szCs w:val="22"/>
        </w:rPr>
        <w:t xml:space="preserve">another attempt has been made by widening the </w:t>
      </w:r>
      <w:r w:rsidR="003B5C15" w:rsidRPr="00B8287B">
        <w:rPr>
          <w:rFonts w:ascii="Arial" w:eastAsia="Times New Roman" w:hAnsi="Arial" w:cs="Arial"/>
          <w:szCs w:val="22"/>
        </w:rPr>
        <w:t xml:space="preserve">request.  An article asking for expressions of interest was placed in </w:t>
      </w:r>
      <w:r w:rsidR="00B448B0" w:rsidRPr="00B8287B">
        <w:rPr>
          <w:rFonts w:ascii="Arial" w:eastAsia="Times New Roman" w:hAnsi="Arial" w:cs="Arial"/>
          <w:szCs w:val="22"/>
        </w:rPr>
        <w:t xml:space="preserve">the forthcoming weekly bulletin.  With regards to the Member vacancy, a similar </w:t>
      </w:r>
      <w:r w:rsidR="00471F7F" w:rsidRPr="00B8287B">
        <w:rPr>
          <w:rFonts w:ascii="Arial" w:eastAsia="Times New Roman" w:hAnsi="Arial" w:cs="Arial"/>
          <w:szCs w:val="22"/>
        </w:rPr>
        <w:t xml:space="preserve">form of words was given to a FOA representative who will circulate it on the board’s </w:t>
      </w:r>
      <w:r w:rsidR="00FE5C43" w:rsidRPr="00B8287B">
        <w:rPr>
          <w:rFonts w:ascii="Arial" w:eastAsia="Times New Roman" w:hAnsi="Arial" w:cs="Arial"/>
          <w:szCs w:val="22"/>
        </w:rPr>
        <w:t>behalf.</w:t>
      </w:r>
    </w:p>
    <w:p w14:paraId="00412035" w14:textId="4F96EE96" w:rsidR="00557D31" w:rsidRPr="0007345D" w:rsidRDefault="007E1BC6" w:rsidP="0007345D">
      <w:pPr>
        <w:pStyle w:val="PlainText"/>
        <w:numPr>
          <w:ilvl w:val="1"/>
          <w:numId w:val="18"/>
        </w:numPr>
        <w:ind w:left="709" w:hanging="709"/>
        <w:jc w:val="both"/>
        <w:rPr>
          <w:rFonts w:ascii="Arial" w:hAnsi="Arial" w:cs="Arial"/>
          <w:szCs w:val="22"/>
        </w:rPr>
      </w:pPr>
      <w:r w:rsidRPr="0007345D">
        <w:rPr>
          <w:rFonts w:ascii="Arial" w:hAnsi="Arial" w:cs="Arial"/>
          <w:szCs w:val="22"/>
        </w:rPr>
        <w:t xml:space="preserve">The Firefighters’ Pension Scheme </w:t>
      </w:r>
      <w:r w:rsidR="00B337BE" w:rsidRPr="0007345D">
        <w:rPr>
          <w:rFonts w:ascii="Arial" w:hAnsi="Arial" w:cs="Arial"/>
          <w:szCs w:val="22"/>
        </w:rPr>
        <w:t>Discretions</w:t>
      </w:r>
      <w:r w:rsidRPr="0007345D">
        <w:rPr>
          <w:rFonts w:ascii="Arial" w:hAnsi="Arial" w:cs="Arial"/>
          <w:szCs w:val="22"/>
        </w:rPr>
        <w:t xml:space="preserve"> policy </w:t>
      </w:r>
      <w:r w:rsidR="00214CFB" w:rsidRPr="0007345D">
        <w:rPr>
          <w:rFonts w:ascii="Arial" w:hAnsi="Arial" w:cs="Arial"/>
          <w:szCs w:val="22"/>
        </w:rPr>
        <w:t xml:space="preserve">that </w:t>
      </w:r>
      <w:r w:rsidRPr="0007345D">
        <w:rPr>
          <w:rFonts w:ascii="Arial" w:hAnsi="Arial" w:cs="Arial"/>
          <w:szCs w:val="22"/>
        </w:rPr>
        <w:t xml:space="preserve">was ratified </w:t>
      </w:r>
      <w:r w:rsidR="005804F1" w:rsidRPr="0007345D">
        <w:rPr>
          <w:rFonts w:ascii="Arial" w:hAnsi="Arial" w:cs="Arial"/>
          <w:szCs w:val="22"/>
        </w:rPr>
        <w:t>during December 2019</w:t>
      </w:r>
      <w:r w:rsidR="00B75238" w:rsidRPr="0007345D">
        <w:rPr>
          <w:rFonts w:ascii="Arial" w:hAnsi="Arial" w:cs="Arial"/>
          <w:szCs w:val="22"/>
        </w:rPr>
        <w:t xml:space="preserve"> are still </w:t>
      </w:r>
      <w:proofErr w:type="spellStart"/>
      <w:r w:rsidR="00B75238" w:rsidRPr="0007345D">
        <w:rPr>
          <w:rFonts w:ascii="Arial" w:hAnsi="Arial" w:cs="Arial"/>
          <w:szCs w:val="22"/>
        </w:rPr>
        <w:t>progessing</w:t>
      </w:r>
      <w:proofErr w:type="spellEnd"/>
      <w:r w:rsidR="00B75238" w:rsidRPr="0007345D">
        <w:rPr>
          <w:rFonts w:ascii="Arial" w:hAnsi="Arial" w:cs="Arial"/>
          <w:szCs w:val="22"/>
        </w:rPr>
        <w:t xml:space="preserve">.  </w:t>
      </w:r>
      <w:r w:rsidR="00540D71" w:rsidRPr="0007345D">
        <w:rPr>
          <w:rFonts w:ascii="Arial" w:hAnsi="Arial" w:cs="Arial"/>
          <w:szCs w:val="22"/>
        </w:rPr>
        <w:t xml:space="preserve">These are back with the </w:t>
      </w:r>
      <w:proofErr w:type="spellStart"/>
      <w:r w:rsidR="00540D71" w:rsidRPr="0007345D">
        <w:rPr>
          <w:rFonts w:ascii="Arial" w:hAnsi="Arial" w:cs="Arial"/>
          <w:szCs w:val="22"/>
        </w:rPr>
        <w:t>t</w:t>
      </w:r>
      <w:r w:rsidR="005804F1" w:rsidRPr="0007345D">
        <w:rPr>
          <w:rFonts w:ascii="Arial" w:hAnsi="Arial" w:cs="Arial"/>
          <w:szCs w:val="22"/>
        </w:rPr>
        <w:t>he</w:t>
      </w:r>
      <w:proofErr w:type="spellEnd"/>
      <w:r w:rsidR="005804F1" w:rsidRPr="0007345D">
        <w:rPr>
          <w:rFonts w:ascii="Arial" w:hAnsi="Arial" w:cs="Arial"/>
          <w:szCs w:val="22"/>
        </w:rPr>
        <w:t xml:space="preserve"> Pensions Administrator/Manager </w:t>
      </w:r>
      <w:r w:rsidR="001A71A9" w:rsidRPr="0007345D">
        <w:rPr>
          <w:rFonts w:ascii="Arial" w:hAnsi="Arial" w:cs="Arial"/>
          <w:szCs w:val="22"/>
        </w:rPr>
        <w:t xml:space="preserve">to amend slightly </w:t>
      </w:r>
      <w:r w:rsidR="00B26B37" w:rsidRPr="0007345D">
        <w:rPr>
          <w:rFonts w:ascii="Arial" w:hAnsi="Arial" w:cs="Arial"/>
          <w:szCs w:val="22"/>
        </w:rPr>
        <w:t>to indicate those discretions that are</w:t>
      </w:r>
      <w:proofErr w:type="gramStart"/>
      <w:r w:rsidR="00B26B37" w:rsidRPr="0007345D">
        <w:rPr>
          <w:rFonts w:ascii="Arial" w:hAnsi="Arial" w:cs="Arial"/>
          <w:szCs w:val="22"/>
        </w:rPr>
        <w:t>, in reality, delegated</w:t>
      </w:r>
      <w:proofErr w:type="gramEnd"/>
      <w:r w:rsidR="00B26B37" w:rsidRPr="0007345D">
        <w:rPr>
          <w:rFonts w:ascii="Arial" w:hAnsi="Arial" w:cs="Arial"/>
          <w:szCs w:val="22"/>
        </w:rPr>
        <w:t xml:space="preserve"> to </w:t>
      </w:r>
      <w:r w:rsidR="00F757FB" w:rsidRPr="0007345D">
        <w:rPr>
          <w:rFonts w:ascii="Arial" w:hAnsi="Arial" w:cs="Arial"/>
          <w:szCs w:val="22"/>
        </w:rPr>
        <w:t>WYPF</w:t>
      </w:r>
      <w:r w:rsidR="00B26B37" w:rsidRPr="0007345D">
        <w:rPr>
          <w:rFonts w:ascii="Arial" w:hAnsi="Arial" w:cs="Arial"/>
          <w:szCs w:val="22"/>
        </w:rPr>
        <w:t xml:space="preserve"> as part of the day-to-day administration</w:t>
      </w:r>
      <w:r w:rsidR="00F757FB" w:rsidRPr="0007345D">
        <w:rPr>
          <w:rFonts w:ascii="Arial" w:hAnsi="Arial" w:cs="Arial"/>
          <w:szCs w:val="22"/>
        </w:rPr>
        <w:t>.  Once updated</w:t>
      </w:r>
      <w:r w:rsidR="00557D31" w:rsidRPr="0007345D">
        <w:rPr>
          <w:rFonts w:ascii="Arial" w:hAnsi="Arial" w:cs="Arial"/>
          <w:szCs w:val="22"/>
        </w:rPr>
        <w:t xml:space="preserve">, they </w:t>
      </w:r>
      <w:r w:rsidR="005804F1" w:rsidRPr="0007345D">
        <w:rPr>
          <w:rFonts w:ascii="Arial" w:hAnsi="Arial" w:cs="Arial"/>
          <w:szCs w:val="22"/>
        </w:rPr>
        <w:t xml:space="preserve">will be </w:t>
      </w:r>
      <w:proofErr w:type="gramStart"/>
      <w:r w:rsidR="005804F1" w:rsidRPr="0007345D">
        <w:rPr>
          <w:rFonts w:ascii="Arial" w:hAnsi="Arial" w:cs="Arial"/>
          <w:szCs w:val="22"/>
        </w:rPr>
        <w:t>referred back</w:t>
      </w:r>
      <w:proofErr w:type="gramEnd"/>
      <w:r w:rsidR="005804F1" w:rsidRPr="0007345D">
        <w:rPr>
          <w:rFonts w:ascii="Arial" w:hAnsi="Arial" w:cs="Arial"/>
          <w:szCs w:val="22"/>
        </w:rPr>
        <w:t xml:space="preserve"> to the FBU</w:t>
      </w:r>
      <w:r w:rsidR="00557D31" w:rsidRPr="0007345D">
        <w:rPr>
          <w:rFonts w:ascii="Arial" w:hAnsi="Arial" w:cs="Arial"/>
          <w:szCs w:val="22"/>
        </w:rPr>
        <w:t>.</w:t>
      </w:r>
    </w:p>
    <w:p w14:paraId="5276AF35" w14:textId="017FEF6B" w:rsidR="00E310EE" w:rsidRDefault="005804F1" w:rsidP="00BB3DE3">
      <w:pPr>
        <w:pStyle w:val="PlainText"/>
        <w:ind w:left="709"/>
        <w:jc w:val="both"/>
        <w:rPr>
          <w:rFonts w:ascii="Arial" w:hAnsi="Arial" w:cs="Arial"/>
          <w:szCs w:val="22"/>
        </w:rPr>
      </w:pPr>
      <w:r w:rsidRPr="0007345D">
        <w:rPr>
          <w:rFonts w:ascii="Arial" w:hAnsi="Arial" w:cs="Arial"/>
          <w:szCs w:val="22"/>
        </w:rPr>
        <w:t xml:space="preserve">Once </w:t>
      </w:r>
      <w:proofErr w:type="gramStart"/>
      <w:r w:rsidRPr="0007345D">
        <w:rPr>
          <w:rFonts w:ascii="Arial" w:hAnsi="Arial" w:cs="Arial"/>
          <w:szCs w:val="22"/>
        </w:rPr>
        <w:t>fully-endorsed</w:t>
      </w:r>
      <w:proofErr w:type="gramEnd"/>
      <w:r w:rsidRPr="0007345D">
        <w:rPr>
          <w:rFonts w:ascii="Arial" w:hAnsi="Arial" w:cs="Arial"/>
          <w:szCs w:val="22"/>
        </w:rPr>
        <w:t>, they will be finally adopted by the OFPCC and published</w:t>
      </w:r>
      <w:r w:rsidR="0007345D" w:rsidRPr="0007345D">
        <w:rPr>
          <w:rFonts w:ascii="Arial" w:hAnsi="Arial" w:cs="Arial"/>
          <w:szCs w:val="22"/>
        </w:rPr>
        <w:t xml:space="preserve">.  </w:t>
      </w:r>
      <w:r w:rsidR="002C5D95" w:rsidRPr="0007345D">
        <w:rPr>
          <w:rFonts w:ascii="Arial" w:hAnsi="Arial" w:cs="Arial"/>
          <w:szCs w:val="22"/>
        </w:rPr>
        <w:t>Future Board meetings will confirm where a discretion has been exercised by the Pensions Administrator / Manager.</w:t>
      </w:r>
    </w:p>
    <w:p w14:paraId="24109AD1" w14:textId="77777777" w:rsidR="00BB3DE3" w:rsidRDefault="00BB3DE3" w:rsidP="00BB3DE3">
      <w:pPr>
        <w:pStyle w:val="PlainText"/>
        <w:ind w:left="709"/>
        <w:jc w:val="both"/>
        <w:rPr>
          <w:rFonts w:ascii="Arial" w:hAnsi="Arial" w:cs="Arial"/>
          <w:szCs w:val="22"/>
        </w:rPr>
      </w:pPr>
    </w:p>
    <w:p w14:paraId="73A0208E" w14:textId="77777777" w:rsidR="00BB3DE3" w:rsidRPr="00F2323F" w:rsidRDefault="00BB3DE3" w:rsidP="00BB3DE3">
      <w:pPr>
        <w:pStyle w:val="PlainText"/>
        <w:ind w:left="709"/>
        <w:jc w:val="both"/>
        <w:rPr>
          <w:rFonts w:ascii="Arial" w:hAnsi="Arial" w:cs="Arial"/>
          <w:szCs w:val="22"/>
        </w:rPr>
      </w:pPr>
    </w:p>
    <w:p w14:paraId="476B9535" w14:textId="6A1175E2" w:rsidR="00F24979" w:rsidRPr="00F2323F" w:rsidRDefault="00521909" w:rsidP="00BB3DE3">
      <w:pPr>
        <w:pStyle w:val="ListParagraph"/>
        <w:numPr>
          <w:ilvl w:val="0"/>
          <w:numId w:val="18"/>
        </w:numPr>
        <w:spacing w:after="0" w:line="240" w:lineRule="auto"/>
        <w:ind w:left="709" w:hanging="709"/>
        <w:jc w:val="both"/>
        <w:rPr>
          <w:rStyle w:val="fontstyle31"/>
          <w:rFonts w:ascii="Arial" w:hAnsi="Arial" w:cs="Arial"/>
          <w:b/>
          <w:u w:val="single"/>
        </w:rPr>
      </w:pPr>
      <w:r w:rsidRPr="00F2323F">
        <w:rPr>
          <w:rStyle w:val="fontstyle31"/>
          <w:rFonts w:ascii="Arial" w:hAnsi="Arial" w:cs="Arial"/>
          <w:b/>
          <w:u w:val="single"/>
        </w:rPr>
        <w:t>Legislative update</w:t>
      </w:r>
      <w:r w:rsidR="007657DF" w:rsidRPr="00F2323F">
        <w:rPr>
          <w:rStyle w:val="fontstyle31"/>
          <w:rFonts w:ascii="Arial" w:hAnsi="Arial" w:cs="Arial"/>
          <w:b/>
          <w:u w:val="single"/>
        </w:rPr>
        <w:t xml:space="preserve"> </w:t>
      </w:r>
    </w:p>
    <w:p w14:paraId="3AE44800" w14:textId="77777777" w:rsidR="00373DAB" w:rsidRPr="00F2323F" w:rsidRDefault="00373DAB" w:rsidP="00373DAB">
      <w:pPr>
        <w:pStyle w:val="ListParagraph"/>
        <w:spacing w:line="240" w:lineRule="auto"/>
        <w:ind w:left="709"/>
        <w:jc w:val="both"/>
        <w:rPr>
          <w:rStyle w:val="fontstyle31"/>
          <w:rFonts w:ascii="Arial" w:hAnsi="Arial" w:cs="Arial"/>
          <w:b/>
          <w:u w:val="single"/>
        </w:rPr>
      </w:pPr>
    </w:p>
    <w:tbl>
      <w:tblPr>
        <w:tblW w:w="833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7201"/>
      </w:tblGrid>
      <w:tr w:rsidR="00373DAB" w:rsidRPr="00C40FBA" w14:paraId="6F864624" w14:textId="77777777" w:rsidTr="00373DAB">
        <w:tc>
          <w:tcPr>
            <w:tcW w:w="1134" w:type="dxa"/>
            <w:vAlign w:val="center"/>
            <w:hideMark/>
          </w:tcPr>
          <w:p w14:paraId="63DC4EEE" w14:textId="77777777" w:rsidR="00373DAB" w:rsidRPr="00F2323F" w:rsidRDefault="00373DAB" w:rsidP="00373DA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2323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SI </w:t>
            </w:r>
          </w:p>
        </w:tc>
        <w:tc>
          <w:tcPr>
            <w:tcW w:w="7201" w:type="dxa"/>
            <w:vAlign w:val="center"/>
            <w:hideMark/>
          </w:tcPr>
          <w:p w14:paraId="15CCDEA6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Reference title</w:t>
            </w:r>
          </w:p>
        </w:tc>
      </w:tr>
      <w:tr w:rsidR="00373DAB" w:rsidRPr="00F2323F" w14:paraId="00FB2DD6" w14:textId="77777777" w:rsidTr="00373DAB">
        <w:tc>
          <w:tcPr>
            <w:tcW w:w="1134" w:type="dxa"/>
            <w:vAlign w:val="center"/>
            <w:hideMark/>
          </w:tcPr>
          <w:p w14:paraId="0D3DC9FE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 xml:space="preserve">2020/193 </w:t>
            </w:r>
          </w:p>
        </w:tc>
        <w:tc>
          <w:tcPr>
            <w:tcW w:w="7201" w:type="dxa"/>
            <w:vAlign w:val="center"/>
            <w:hideMark/>
          </w:tcPr>
          <w:p w14:paraId="167AD2F1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>The Social Security Revaluation of Earnings Factors Order 2020</w:t>
            </w:r>
          </w:p>
        </w:tc>
      </w:tr>
      <w:tr w:rsidR="00373DAB" w:rsidRPr="00F2323F" w14:paraId="5EC9E918" w14:textId="77777777" w:rsidTr="00373DAB">
        <w:tc>
          <w:tcPr>
            <w:tcW w:w="1134" w:type="dxa"/>
            <w:vAlign w:val="center"/>
            <w:hideMark/>
          </w:tcPr>
          <w:p w14:paraId="3F1A2CC1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 xml:space="preserve">2020/230 </w:t>
            </w:r>
          </w:p>
        </w:tc>
        <w:tc>
          <w:tcPr>
            <w:tcW w:w="7201" w:type="dxa"/>
            <w:vAlign w:val="center"/>
            <w:hideMark/>
          </w:tcPr>
          <w:p w14:paraId="6A33C2ED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>The Public Service Pensions Revaluation Order 2020</w:t>
            </w:r>
          </w:p>
        </w:tc>
      </w:tr>
      <w:tr w:rsidR="00373DAB" w:rsidRPr="00F2323F" w14:paraId="0EE5B1BA" w14:textId="77777777" w:rsidTr="00373DAB">
        <w:tc>
          <w:tcPr>
            <w:tcW w:w="1134" w:type="dxa"/>
            <w:vAlign w:val="center"/>
            <w:hideMark/>
          </w:tcPr>
          <w:p w14:paraId="0300263F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 xml:space="preserve">2020/235 </w:t>
            </w:r>
          </w:p>
        </w:tc>
        <w:tc>
          <w:tcPr>
            <w:tcW w:w="7201" w:type="dxa"/>
            <w:vAlign w:val="center"/>
            <w:hideMark/>
          </w:tcPr>
          <w:p w14:paraId="37C80146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>The Guaranteed Minimum Pensions Increase Order 2020</w:t>
            </w:r>
          </w:p>
        </w:tc>
      </w:tr>
      <w:tr w:rsidR="00373DAB" w:rsidRPr="00F2323F" w14:paraId="34ACFE7D" w14:textId="77777777" w:rsidTr="00373DAB">
        <w:tc>
          <w:tcPr>
            <w:tcW w:w="1134" w:type="dxa"/>
            <w:vAlign w:val="center"/>
            <w:hideMark/>
          </w:tcPr>
          <w:p w14:paraId="1CDFE824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 xml:space="preserve">2020/290 </w:t>
            </w:r>
          </w:p>
        </w:tc>
        <w:tc>
          <w:tcPr>
            <w:tcW w:w="7201" w:type="dxa"/>
            <w:vAlign w:val="center"/>
            <w:hideMark/>
          </w:tcPr>
          <w:p w14:paraId="54D97010" w14:textId="77777777" w:rsidR="00373DAB" w:rsidRPr="00C40FBA" w:rsidRDefault="00373DAB" w:rsidP="00114C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40FBA">
              <w:rPr>
                <w:rFonts w:ascii="Arial" w:eastAsia="Times New Roman" w:hAnsi="Arial" w:cs="Arial"/>
                <w:lang w:eastAsia="en-GB"/>
              </w:rPr>
              <w:t>The Pensions Increase (Review) Order 2020</w:t>
            </w:r>
          </w:p>
        </w:tc>
      </w:tr>
    </w:tbl>
    <w:tbl>
      <w:tblPr>
        <w:tblStyle w:val="TableGrid"/>
        <w:tblW w:w="865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8"/>
      </w:tblGrid>
      <w:tr w:rsidR="00373DAB" w:rsidRPr="00F2323F" w14:paraId="60736A15" w14:textId="77777777" w:rsidTr="00AA683F">
        <w:tc>
          <w:tcPr>
            <w:tcW w:w="1134" w:type="dxa"/>
          </w:tcPr>
          <w:p w14:paraId="6BABD1BB" w14:textId="77777777" w:rsidR="00373DAB" w:rsidRPr="00F2323F" w:rsidRDefault="00373DAB" w:rsidP="00114C86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  <w:r w:rsidRPr="00F2323F">
              <w:rPr>
                <w:rFonts w:ascii="Arial" w:eastAsia="Times New Roman" w:hAnsi="Arial" w:cs="Arial"/>
                <w:lang w:eastAsia="en-GB"/>
              </w:rPr>
              <w:t xml:space="preserve">2020/299 </w:t>
            </w:r>
          </w:p>
        </w:tc>
        <w:tc>
          <w:tcPr>
            <w:tcW w:w="7518" w:type="dxa"/>
          </w:tcPr>
          <w:p w14:paraId="3999E859" w14:textId="77777777" w:rsidR="00373DAB" w:rsidRPr="00F2323F" w:rsidRDefault="00373DAB" w:rsidP="00114C86">
            <w:pPr>
              <w:pStyle w:val="NoSpacing"/>
              <w:rPr>
                <w:rFonts w:ascii="Arial" w:eastAsia="Times New Roman" w:hAnsi="Arial" w:cs="Arial"/>
                <w:lang w:eastAsia="en-GB"/>
              </w:rPr>
            </w:pPr>
            <w:r w:rsidRPr="00F2323F">
              <w:rPr>
                <w:rFonts w:ascii="Arial" w:eastAsia="Times New Roman" w:hAnsi="Arial" w:cs="Arial"/>
                <w:lang w:eastAsia="en-GB"/>
              </w:rPr>
              <w:t>The Social Security (Contributions) (Rates, Limits and Thresholds Amendments and National Insurance Funds Payments) Regulations 2020</w:t>
            </w:r>
          </w:p>
        </w:tc>
      </w:tr>
      <w:tr w:rsidR="00373DAB" w:rsidRPr="00F2323F" w14:paraId="1E8A0E57" w14:textId="77777777" w:rsidTr="00AA683F">
        <w:tc>
          <w:tcPr>
            <w:tcW w:w="1134" w:type="dxa"/>
          </w:tcPr>
          <w:p w14:paraId="46B999F8" w14:textId="77777777" w:rsidR="00373DAB" w:rsidRPr="00F2323F" w:rsidRDefault="00373DAB" w:rsidP="00114C86">
            <w:pPr>
              <w:pStyle w:val="NoSpacing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 xml:space="preserve">2020/342 </w:t>
            </w:r>
          </w:p>
        </w:tc>
        <w:tc>
          <w:tcPr>
            <w:tcW w:w="7518" w:type="dxa"/>
          </w:tcPr>
          <w:p w14:paraId="59549FFA" w14:textId="77777777" w:rsidR="00373DAB" w:rsidRPr="00F2323F" w:rsidRDefault="00373DAB" w:rsidP="00114C86">
            <w:pPr>
              <w:pStyle w:val="NoSpacing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The Finance Act 2004 (Standard Lifetime Allowance) Regulations 2020</w:t>
            </w:r>
          </w:p>
        </w:tc>
      </w:tr>
      <w:tr w:rsidR="00373DAB" w:rsidRPr="00F2323F" w14:paraId="045C6782" w14:textId="77777777" w:rsidTr="00AA683F">
        <w:tc>
          <w:tcPr>
            <w:tcW w:w="1134" w:type="dxa"/>
          </w:tcPr>
          <w:p w14:paraId="3154F540" w14:textId="77777777" w:rsidR="00373DAB" w:rsidRPr="00F2323F" w:rsidRDefault="00373DAB" w:rsidP="00BB3DE3">
            <w:pPr>
              <w:pStyle w:val="NoSpacing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 xml:space="preserve">2020/372 </w:t>
            </w:r>
          </w:p>
        </w:tc>
        <w:tc>
          <w:tcPr>
            <w:tcW w:w="7518" w:type="dxa"/>
          </w:tcPr>
          <w:p w14:paraId="23516355" w14:textId="77777777" w:rsidR="00373DAB" w:rsidRPr="00F2323F" w:rsidRDefault="00373DAB" w:rsidP="00BB3DE3">
            <w:pPr>
              <w:pStyle w:val="NoSpacing"/>
              <w:rPr>
                <w:rFonts w:ascii="Arial" w:hAnsi="Arial" w:cs="Arial"/>
              </w:rPr>
            </w:pPr>
            <w:r w:rsidRPr="00F2323F">
              <w:rPr>
                <w:rFonts w:ascii="Arial" w:hAnsi="Arial" w:cs="Arial"/>
              </w:rPr>
              <w:t>The Automatic Enrolment (Earnings Trigger and Qualifying Earnings Band) Order 2020</w:t>
            </w:r>
          </w:p>
        </w:tc>
      </w:tr>
    </w:tbl>
    <w:p w14:paraId="25FB8EC6" w14:textId="594CC16D" w:rsidR="00765351" w:rsidRDefault="00765351" w:rsidP="00BB3DE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</w:p>
    <w:p w14:paraId="70A55B6B" w14:textId="618D90B7" w:rsidR="00BB3DE3" w:rsidRDefault="00BB3DE3" w:rsidP="00BB3DE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</w:p>
    <w:p w14:paraId="0EF5B9B0" w14:textId="77777777" w:rsidR="00AA683F" w:rsidRPr="00F2323F" w:rsidRDefault="00AA683F" w:rsidP="00BB3DE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</w:p>
    <w:p w14:paraId="7B863F58" w14:textId="2C8F4AE2" w:rsidR="002C5D95" w:rsidRPr="00AA683F" w:rsidRDefault="00521909" w:rsidP="00AA683F">
      <w:pPr>
        <w:pStyle w:val="ListParagraph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Arial" w:hAnsi="Arial" w:cs="Arial"/>
          <w:b/>
          <w:color w:val="000000"/>
          <w:u w:val="single"/>
        </w:rPr>
      </w:pPr>
      <w:r w:rsidRPr="00F2323F">
        <w:rPr>
          <w:rStyle w:val="fontstyle31"/>
          <w:rFonts w:ascii="Arial" w:hAnsi="Arial" w:cs="Arial"/>
          <w:b/>
          <w:u w:val="single"/>
        </w:rPr>
        <w:lastRenderedPageBreak/>
        <w:t xml:space="preserve">Firefighters’ Pension Schemes Bulletins </w:t>
      </w:r>
      <w:r w:rsidR="00E13CD2" w:rsidRPr="00F2323F">
        <w:rPr>
          <w:rStyle w:val="fontstyle31"/>
          <w:rFonts w:ascii="Arial" w:hAnsi="Arial" w:cs="Arial"/>
          <w:b/>
          <w:u w:val="single"/>
        </w:rPr>
        <w:t>Summary</w:t>
      </w:r>
    </w:p>
    <w:p w14:paraId="2C0AA18E" w14:textId="77777777" w:rsidR="00AC143D" w:rsidRDefault="00AC143D" w:rsidP="00A45F87">
      <w:pPr>
        <w:pStyle w:val="NoSpacing"/>
        <w:ind w:left="709"/>
        <w:jc w:val="both"/>
        <w:rPr>
          <w:rStyle w:val="fontstyle01"/>
          <w:rFonts w:ascii="Arial" w:hAnsi="Arial" w:cs="Arial"/>
          <w:b/>
          <w:bCs/>
          <w:color w:val="auto"/>
        </w:rPr>
      </w:pPr>
    </w:p>
    <w:p w14:paraId="0389EBAA" w14:textId="2F9CC3A7" w:rsidR="00C40AD9" w:rsidRPr="00C40AD9" w:rsidRDefault="00342528" w:rsidP="00A45F87">
      <w:pPr>
        <w:pStyle w:val="NoSpacing"/>
        <w:ind w:left="709"/>
        <w:jc w:val="both"/>
        <w:rPr>
          <w:rStyle w:val="fontstyle01"/>
          <w:rFonts w:ascii="Arial" w:hAnsi="Arial" w:cs="Arial"/>
          <w:b/>
          <w:bCs/>
          <w:color w:val="auto"/>
        </w:rPr>
      </w:pPr>
      <w:r w:rsidRPr="00C40AD9">
        <w:rPr>
          <w:rStyle w:val="fontstyle01"/>
          <w:rFonts w:ascii="Arial" w:hAnsi="Arial" w:cs="Arial"/>
          <w:b/>
          <w:bCs/>
          <w:color w:val="auto"/>
        </w:rPr>
        <w:t>FPS contribution rates 2020-21</w:t>
      </w:r>
    </w:p>
    <w:p w14:paraId="61A21CB0" w14:textId="77777777" w:rsidR="00C40AD9" w:rsidRDefault="00342528" w:rsidP="00A45F87">
      <w:pPr>
        <w:pStyle w:val="NoSpacing"/>
        <w:ind w:left="709"/>
        <w:jc w:val="both"/>
        <w:rPr>
          <w:rStyle w:val="fontstyle21"/>
          <w:rFonts w:ascii="Arial" w:hAnsi="Arial" w:cs="Arial"/>
          <w:color w:val="auto"/>
        </w:rPr>
      </w:pPr>
      <w:r w:rsidRPr="00A45F87">
        <w:rPr>
          <w:rStyle w:val="fontstyle21"/>
          <w:rFonts w:ascii="Arial" w:hAnsi="Arial" w:cs="Arial"/>
          <w:color w:val="auto"/>
        </w:rPr>
        <w:t>Banded contribution rates were introduced to the Firefighters’ Pension Scheme 1992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and the Firefighters’ Pension Scheme (England) 2006 by Statutory Instruments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2012/953 and 2012/954 respectively.</w:t>
      </w:r>
    </w:p>
    <w:p w14:paraId="0F70BB3A" w14:textId="77777777" w:rsidR="00F3405C" w:rsidRDefault="00342528" w:rsidP="00A45F87">
      <w:pPr>
        <w:pStyle w:val="NoSpacing"/>
        <w:ind w:left="709"/>
        <w:jc w:val="both"/>
        <w:rPr>
          <w:rStyle w:val="fontstyle21"/>
          <w:rFonts w:ascii="Arial" w:hAnsi="Arial" w:cs="Arial"/>
          <w:color w:val="auto"/>
        </w:rPr>
      </w:pP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These rates have subsequently been amended each year by an amendment order to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the schemes. The most recent amendments, which came into force on 1 April 2015,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listed the rates applicable from 2015-16 to 2018-19, including contribution rates for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Special Members of the Firefighters’ Pension Scheme (England) 2006.</w:t>
      </w:r>
      <w:r w:rsidRPr="00A45F87">
        <w:rPr>
          <w:rFonts w:ascii="Arial" w:hAnsi="Arial" w:cs="Arial"/>
        </w:rPr>
        <w:br/>
      </w:r>
    </w:p>
    <w:p w14:paraId="0E09B72C" w14:textId="760A97DC" w:rsidR="00342528" w:rsidRPr="00A45F87" w:rsidRDefault="00342528" w:rsidP="00A45F87">
      <w:pPr>
        <w:pStyle w:val="NoSpacing"/>
        <w:ind w:left="709"/>
        <w:jc w:val="both"/>
        <w:rPr>
          <w:rStyle w:val="fontstyle01"/>
          <w:rFonts w:ascii="Arial" w:hAnsi="Arial" w:cs="Arial"/>
          <w:color w:val="auto"/>
        </w:rPr>
      </w:pPr>
      <w:r w:rsidRPr="00A45F87">
        <w:rPr>
          <w:rStyle w:val="fontstyle21"/>
          <w:rFonts w:ascii="Arial" w:hAnsi="Arial" w:cs="Arial"/>
          <w:color w:val="auto"/>
        </w:rPr>
        <w:t>The Firefighters’ Pension Scheme 2015 was introduced on 1 April 2015 by SI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2014/2848. Regulation 110 set out details rates applicable from 2015-16 to 2018-19.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For 2019-20, FRAs were instructed that the 2018-19 rates would continue to apply,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>due to the pause of the cost-cap mechanism. These rates will continue to apply for</w:t>
      </w:r>
      <w:r w:rsidRPr="00A45F87">
        <w:rPr>
          <w:rFonts w:ascii="Arial" w:hAnsi="Arial" w:cs="Arial"/>
        </w:rPr>
        <w:br/>
      </w:r>
      <w:r w:rsidRPr="00A45F87">
        <w:rPr>
          <w:rStyle w:val="fontstyle21"/>
          <w:rFonts w:ascii="Arial" w:hAnsi="Arial" w:cs="Arial"/>
          <w:color w:val="auto"/>
        </w:rPr>
        <w:t xml:space="preserve">2020-21. </w:t>
      </w:r>
      <w:r w:rsidRPr="00A45F87">
        <w:rPr>
          <w:rStyle w:val="fontstyle01"/>
          <w:rFonts w:ascii="Arial" w:hAnsi="Arial" w:cs="Arial"/>
          <w:color w:val="auto"/>
        </w:rPr>
        <w:t>The contribution rate factsheet reminds FRAs of the contribution rates</w:t>
      </w:r>
      <w:r w:rsidRPr="00A45F87">
        <w:rPr>
          <w:rFonts w:ascii="Arial" w:hAnsi="Arial" w:cs="Arial"/>
          <w:b/>
          <w:bCs/>
        </w:rPr>
        <w:br/>
      </w:r>
      <w:r w:rsidRPr="00A45F87">
        <w:rPr>
          <w:rStyle w:val="fontstyle01"/>
          <w:rFonts w:ascii="Arial" w:hAnsi="Arial" w:cs="Arial"/>
          <w:color w:val="auto"/>
        </w:rPr>
        <w:t>set out in the above Regulations and Orders which will apply from 1 April 2020.</w:t>
      </w:r>
    </w:p>
    <w:p w14:paraId="25C4D779" w14:textId="77777777" w:rsidR="00342528" w:rsidRPr="00A45F87" w:rsidRDefault="00342528" w:rsidP="00A45F87">
      <w:pPr>
        <w:pStyle w:val="NoSpacing"/>
        <w:ind w:left="709"/>
        <w:jc w:val="both"/>
        <w:rPr>
          <w:rStyle w:val="fontstyle01"/>
          <w:rFonts w:ascii="Arial" w:hAnsi="Arial" w:cs="Arial"/>
          <w:color w:val="auto"/>
        </w:rPr>
      </w:pPr>
    </w:p>
    <w:p w14:paraId="3F1FDC63" w14:textId="77777777" w:rsidR="00464AFD" w:rsidRDefault="00342528" w:rsidP="00AA6B5C">
      <w:pPr>
        <w:pStyle w:val="NoSpacing"/>
        <w:ind w:left="709"/>
        <w:jc w:val="both"/>
        <w:rPr>
          <w:rFonts w:ascii="Arial" w:hAnsi="Arial" w:cs="Arial"/>
          <w:b/>
          <w:bCs/>
        </w:rPr>
      </w:pPr>
      <w:r w:rsidRPr="00A45F87">
        <w:rPr>
          <w:rFonts w:ascii="Arial" w:hAnsi="Arial" w:cs="Arial"/>
          <w:b/>
          <w:bCs/>
        </w:rPr>
        <w:t>Top Up grant 2020: Collection of pensions accounting data – action</w:t>
      </w:r>
      <w:r w:rsidRPr="00A45F87">
        <w:rPr>
          <w:rFonts w:ascii="Arial" w:hAnsi="Arial" w:cs="Arial"/>
          <w:b/>
          <w:bCs/>
        </w:rPr>
        <w:br/>
        <w:t>required</w:t>
      </w:r>
    </w:p>
    <w:p w14:paraId="6C5362B3" w14:textId="1A5E38C1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On 8 April 2020, the Home Office sent an email to Claim Certifiers (and Claim</w:t>
      </w:r>
      <w:r w:rsidRPr="00A45F87">
        <w:rPr>
          <w:rFonts w:ascii="Arial" w:hAnsi="Arial" w:cs="Arial"/>
        </w:rPr>
        <w:br/>
        <w:t>Administrators) to advise that FRAs should now all be working towards submitting</w:t>
      </w:r>
      <w:r w:rsidRPr="00A45F87">
        <w:rPr>
          <w:rFonts w:ascii="Arial" w:hAnsi="Arial" w:cs="Arial"/>
        </w:rPr>
        <w:br/>
        <w:t>audited 2018/19 and unaudited 2019/20 pensions income/expenditure data as part</w:t>
      </w:r>
      <w:r w:rsidRPr="00A45F87">
        <w:rPr>
          <w:rFonts w:ascii="Arial" w:hAnsi="Arial" w:cs="Arial"/>
        </w:rPr>
        <w:br/>
        <w:t>of this year’s top up grant claim.</w:t>
      </w:r>
    </w:p>
    <w:p w14:paraId="55FE69EF" w14:textId="77777777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</w:p>
    <w:p w14:paraId="2045C01D" w14:textId="25900F9C" w:rsidR="00342528" w:rsidRPr="00A45F87" w:rsidRDefault="00360E14" w:rsidP="00E7310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342528" w:rsidRPr="00A45F87">
        <w:rPr>
          <w:rFonts w:ascii="Arial" w:hAnsi="Arial" w:cs="Arial"/>
        </w:rPr>
        <w:t xml:space="preserve">The final accounts and audit process </w:t>
      </w:r>
      <w:proofErr w:type="gramStart"/>
      <w:r w:rsidR="00342528" w:rsidRPr="00A45F87">
        <w:rPr>
          <w:rFonts w:ascii="Arial" w:hAnsi="Arial" w:cs="Arial"/>
        </w:rPr>
        <w:t>has</w:t>
      </w:r>
      <w:proofErr w:type="gramEnd"/>
      <w:r w:rsidR="00342528" w:rsidRPr="00A45F87">
        <w:rPr>
          <w:rFonts w:ascii="Arial" w:hAnsi="Arial" w:cs="Arial"/>
        </w:rPr>
        <w:t xml:space="preserve"> been extended so top up grant and GAD disclosure numbers are still provisional until the audit concludes in September.</w:t>
      </w:r>
      <w:r w:rsidR="00DB7ECD">
        <w:rPr>
          <w:rFonts w:ascii="Arial" w:hAnsi="Arial" w:cs="Arial"/>
        </w:rPr>
        <w:t xml:space="preserve">  The annual w</w:t>
      </w:r>
      <w:r w:rsidR="00342528" w:rsidRPr="00A45F87">
        <w:rPr>
          <w:rFonts w:ascii="Arial" w:hAnsi="Arial" w:cs="Arial"/>
        </w:rPr>
        <w:t>ork on the forecast</w:t>
      </w:r>
      <w:r w:rsidR="007F082B">
        <w:rPr>
          <w:rFonts w:ascii="Arial" w:hAnsi="Arial" w:cs="Arial"/>
        </w:rPr>
        <w:t>ing of</w:t>
      </w:r>
      <w:r w:rsidR="00342528" w:rsidRPr="00A45F87">
        <w:rPr>
          <w:rFonts w:ascii="Arial" w:hAnsi="Arial" w:cs="Arial"/>
        </w:rPr>
        <w:t xml:space="preserve"> pensions expenditure and grant for 2021/22 onwards will commence in August</w:t>
      </w:r>
      <w:r w:rsidR="00AC1DAA">
        <w:rPr>
          <w:rFonts w:ascii="Arial" w:hAnsi="Arial" w:cs="Arial"/>
        </w:rPr>
        <w:t xml:space="preserve"> – provided by the Head of Finance</w:t>
      </w:r>
      <w:r w:rsidR="009E75C7">
        <w:rPr>
          <w:rFonts w:ascii="Arial" w:hAnsi="Arial" w:cs="Arial"/>
        </w:rPr>
        <w:t xml:space="preserve">.  There were no other items of a Payroll nature </w:t>
      </w:r>
      <w:r w:rsidR="00A44F7B">
        <w:rPr>
          <w:rFonts w:ascii="Arial" w:hAnsi="Arial" w:cs="Arial"/>
        </w:rPr>
        <w:t>considered relevant for this meeting</w:t>
      </w:r>
      <w:r w:rsidR="00DB7ECD">
        <w:rPr>
          <w:rFonts w:ascii="Arial" w:hAnsi="Arial" w:cs="Arial"/>
        </w:rPr>
        <w:t>]</w:t>
      </w:r>
      <w:r w:rsidR="00A44F7B">
        <w:rPr>
          <w:rFonts w:ascii="Arial" w:hAnsi="Arial" w:cs="Arial"/>
        </w:rPr>
        <w:t>.</w:t>
      </w:r>
    </w:p>
    <w:p w14:paraId="711CCE1E" w14:textId="77777777" w:rsidR="00E7310D" w:rsidRDefault="00342528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  <w:r w:rsidRPr="00A45F87">
        <w:rPr>
          <w:rFonts w:ascii="Arial" w:hAnsi="Arial" w:cs="Arial"/>
          <w:b/>
          <w:bCs/>
        </w:rPr>
        <w:t>Ill-health retirement applications</w:t>
      </w:r>
    </w:p>
    <w:p w14:paraId="2F66D20A" w14:textId="77777777" w:rsidR="00E7310D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Our colleagues on the pensions team recently contacted the Association of Local</w:t>
      </w:r>
      <w:r w:rsidRPr="00A45F87">
        <w:rPr>
          <w:rFonts w:ascii="Arial" w:hAnsi="Arial" w:cs="Arial"/>
        </w:rPr>
        <w:br/>
        <w:t>Authority Medical Advisers (ALAMA) regarding inconsistency in the approaches</w:t>
      </w:r>
      <w:r w:rsidRPr="00A45F87">
        <w:rPr>
          <w:rFonts w:ascii="Arial" w:hAnsi="Arial" w:cs="Arial"/>
        </w:rPr>
        <w:br/>
        <w:t>taken by IQMP providers during the COVID-19 crisis.</w:t>
      </w:r>
    </w:p>
    <w:p w14:paraId="58BAE739" w14:textId="77777777" w:rsidR="00734A4F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ALAMA confirmed that the following instruction has been posted to their website:</w:t>
      </w:r>
      <w:r w:rsidRPr="00A45F87">
        <w:rPr>
          <w:rFonts w:ascii="Arial" w:hAnsi="Arial" w:cs="Arial"/>
        </w:rPr>
        <w:br/>
        <w:t>“During the current COVID-19 crisis, it is important to continue to progress ill health</w:t>
      </w:r>
      <w:r w:rsidRPr="00A45F87">
        <w:rPr>
          <w:rFonts w:ascii="Arial" w:hAnsi="Arial" w:cs="Arial"/>
        </w:rPr>
        <w:br/>
        <w:t>retirement applications. It is also particularly important that assessments remain fair</w:t>
      </w:r>
      <w:r w:rsidRPr="00A45F87">
        <w:rPr>
          <w:rFonts w:ascii="Arial" w:hAnsi="Arial" w:cs="Arial"/>
        </w:rPr>
        <w:br/>
        <w:t>and reasonable, and that should include requesting GP and specialist reports as</w:t>
      </w:r>
      <w:r w:rsidRPr="00A45F87">
        <w:rPr>
          <w:rFonts w:ascii="Arial" w:hAnsi="Arial" w:cs="Arial"/>
        </w:rPr>
        <w:br/>
        <w:t>required. There has never been a requirement for these assessments to be face to</w:t>
      </w:r>
      <w:r w:rsidRPr="00A45F87">
        <w:rPr>
          <w:rFonts w:ascii="Arial" w:hAnsi="Arial" w:cs="Arial"/>
        </w:rPr>
        <w:br/>
        <w:t>face, therefore paperwork reviews, with telephone clarification if needed, is the most</w:t>
      </w:r>
      <w:r w:rsidRPr="00A45F87">
        <w:rPr>
          <w:rFonts w:ascii="Arial" w:hAnsi="Arial" w:cs="Arial"/>
        </w:rPr>
        <w:br/>
        <w:t>appropriate way to progress these.</w:t>
      </w:r>
    </w:p>
    <w:p w14:paraId="2EE7DF1E" w14:textId="77DC47C9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If it is not possible to get reports, an assessment should be based on whether</w:t>
      </w:r>
      <w:r w:rsidRPr="00A45F87">
        <w:rPr>
          <w:rFonts w:ascii="Arial" w:hAnsi="Arial" w:cs="Arial"/>
        </w:rPr>
        <w:br/>
        <w:t>reports are likely to influence your decision further, and whether you have enough</w:t>
      </w:r>
      <w:r w:rsidRPr="00A45F87">
        <w:rPr>
          <w:rFonts w:ascii="Arial" w:hAnsi="Arial" w:cs="Arial"/>
        </w:rPr>
        <w:br/>
        <w:t>objective evidence to make an opinion. Opinions should always be ‘on balance of</w:t>
      </w:r>
      <w:r w:rsidRPr="00A45F87">
        <w:rPr>
          <w:rFonts w:ascii="Arial" w:hAnsi="Arial" w:cs="Arial"/>
        </w:rPr>
        <w:br/>
        <w:t xml:space="preserve">probability’. There will be times when you simply </w:t>
      </w:r>
      <w:proofErr w:type="gramStart"/>
      <w:r w:rsidRPr="00A45F87">
        <w:rPr>
          <w:rFonts w:ascii="Arial" w:hAnsi="Arial" w:cs="Arial"/>
        </w:rPr>
        <w:t>don’t</w:t>
      </w:r>
      <w:proofErr w:type="gramEnd"/>
      <w:r w:rsidRPr="00A45F87">
        <w:rPr>
          <w:rFonts w:ascii="Arial" w:hAnsi="Arial" w:cs="Arial"/>
        </w:rPr>
        <w:t xml:space="preserve"> have sufficient objective</w:t>
      </w:r>
      <w:r w:rsidRPr="00A45F87">
        <w:rPr>
          <w:rFonts w:ascii="Arial" w:hAnsi="Arial" w:cs="Arial"/>
        </w:rPr>
        <w:br/>
        <w:t>evidence to support ill health retirement, and you have been unable to get clinical</w:t>
      </w:r>
      <w:r w:rsidRPr="00A45F87">
        <w:rPr>
          <w:rFonts w:ascii="Arial" w:hAnsi="Arial" w:cs="Arial"/>
        </w:rPr>
        <w:br/>
        <w:t>reports. You should suggest that the applicant request copies of clinical reports</w:t>
      </w:r>
      <w:r w:rsidRPr="00A45F87">
        <w:rPr>
          <w:rFonts w:ascii="Arial" w:hAnsi="Arial" w:cs="Arial"/>
        </w:rPr>
        <w:br/>
        <w:t>direct from their GP.”</w:t>
      </w:r>
    </w:p>
    <w:p w14:paraId="10675FC9" w14:textId="77777777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</w:p>
    <w:p w14:paraId="112069FC" w14:textId="77777777" w:rsidR="00AC143D" w:rsidRDefault="00AC143D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</w:p>
    <w:p w14:paraId="3012EEB7" w14:textId="77777777" w:rsidR="00AC143D" w:rsidRDefault="00AC143D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</w:p>
    <w:p w14:paraId="2CCED7C5" w14:textId="238E95BB" w:rsidR="00F708F0" w:rsidRDefault="00342528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  <w:r w:rsidRPr="00A45F87">
        <w:rPr>
          <w:rFonts w:ascii="Arial" w:hAnsi="Arial" w:cs="Arial"/>
          <w:b/>
          <w:bCs/>
        </w:rPr>
        <w:lastRenderedPageBreak/>
        <w:t>FPS 2015 Added Pension factsheet</w:t>
      </w:r>
    </w:p>
    <w:p w14:paraId="5C40239C" w14:textId="77777777" w:rsidR="0021002E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A new factsheet on FPS 2015 Added Pension has been published on the factsheets</w:t>
      </w:r>
      <w:r w:rsidRPr="00A45F87">
        <w:rPr>
          <w:rFonts w:ascii="Arial" w:hAnsi="Arial" w:cs="Arial"/>
        </w:rPr>
        <w:br/>
        <w:t>tab of the FPS Regulations and Guidance website.</w:t>
      </w:r>
    </w:p>
    <w:p w14:paraId="68D26C59" w14:textId="1A3AC910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This factsheet has been prepared by the FCWG to provide information and</w:t>
      </w:r>
      <w:r w:rsidRPr="00A45F87">
        <w:rPr>
          <w:rFonts w:ascii="Arial" w:hAnsi="Arial" w:cs="Arial"/>
        </w:rPr>
        <w:br/>
        <w:t>examples to members who may be interested in buying added pension. The</w:t>
      </w:r>
      <w:r w:rsidRPr="00A45F87">
        <w:rPr>
          <w:rFonts w:ascii="Arial" w:hAnsi="Arial" w:cs="Arial"/>
        </w:rPr>
        <w:br/>
        <w:t>factsheet includes an application form for a quote request.</w:t>
      </w:r>
    </w:p>
    <w:p w14:paraId="6B93735D" w14:textId="77777777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</w:p>
    <w:p w14:paraId="3D6D846F" w14:textId="77777777" w:rsidR="0021002E" w:rsidRDefault="00342528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  <w:r w:rsidRPr="00A45F87">
        <w:rPr>
          <w:rFonts w:ascii="Arial" w:hAnsi="Arial" w:cs="Arial"/>
          <w:b/>
          <w:bCs/>
        </w:rPr>
        <w:t>Age discrimination update</w:t>
      </w:r>
    </w:p>
    <w:p w14:paraId="276B4AED" w14:textId="77777777" w:rsidR="0021002E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We are conscious that it has now been six months since the tribunal determination in</w:t>
      </w:r>
      <w:r w:rsidRPr="00A45F87">
        <w:rPr>
          <w:rFonts w:ascii="Arial" w:hAnsi="Arial" w:cs="Arial"/>
        </w:rPr>
        <w:br/>
        <w:t xml:space="preserve">the </w:t>
      </w:r>
      <w:proofErr w:type="spellStart"/>
      <w:r w:rsidRPr="00A45F87">
        <w:rPr>
          <w:rFonts w:ascii="Arial" w:hAnsi="Arial" w:cs="Arial"/>
        </w:rPr>
        <w:t>Sargeant</w:t>
      </w:r>
      <w:proofErr w:type="spellEnd"/>
      <w:r w:rsidRPr="00A45F87">
        <w:rPr>
          <w:rFonts w:ascii="Arial" w:hAnsi="Arial" w:cs="Arial"/>
        </w:rPr>
        <w:t xml:space="preserve"> case for age discrimination and </w:t>
      </w:r>
      <w:proofErr w:type="gramStart"/>
      <w:r w:rsidRPr="00A45F87">
        <w:rPr>
          <w:rFonts w:ascii="Arial" w:hAnsi="Arial" w:cs="Arial"/>
        </w:rPr>
        <w:t>as yet</w:t>
      </w:r>
      <w:proofErr w:type="gramEnd"/>
      <w:r w:rsidRPr="00A45F87">
        <w:rPr>
          <w:rFonts w:ascii="Arial" w:hAnsi="Arial" w:cs="Arial"/>
        </w:rPr>
        <w:t xml:space="preserve"> we have been unable to provide</w:t>
      </w:r>
      <w:r w:rsidRPr="00A45F87">
        <w:rPr>
          <w:rFonts w:ascii="Arial" w:hAnsi="Arial" w:cs="Arial"/>
        </w:rPr>
        <w:br/>
        <w:t>further information on what to expect.</w:t>
      </w:r>
    </w:p>
    <w:p w14:paraId="12BD993E" w14:textId="0AFBEBA0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 xml:space="preserve">The position </w:t>
      </w:r>
      <w:proofErr w:type="gramStart"/>
      <w:r w:rsidRPr="00A45F87">
        <w:rPr>
          <w:rFonts w:ascii="Arial" w:hAnsi="Arial" w:cs="Arial"/>
        </w:rPr>
        <w:t>at the moment</w:t>
      </w:r>
      <w:proofErr w:type="gramEnd"/>
      <w:r w:rsidRPr="00A45F87">
        <w:rPr>
          <w:rFonts w:ascii="Arial" w:hAnsi="Arial" w:cs="Arial"/>
        </w:rPr>
        <w:t xml:space="preserve"> remains as per FPS Bulletin 28 - January 2020 that all</w:t>
      </w:r>
      <w:r w:rsidRPr="00A45F87">
        <w:rPr>
          <w:rFonts w:ascii="Arial" w:hAnsi="Arial" w:cs="Arial"/>
        </w:rPr>
        <w:br/>
        <w:t>entitlements including immediate ones should remain under the existing rules for the</w:t>
      </w:r>
      <w:r w:rsidRPr="00A45F87">
        <w:rPr>
          <w:rFonts w:ascii="Arial" w:hAnsi="Arial" w:cs="Arial"/>
        </w:rPr>
        <w:br/>
        <w:t>time being.</w:t>
      </w:r>
    </w:p>
    <w:p w14:paraId="2A828454" w14:textId="77777777" w:rsidR="00E877BD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We understand that this position will no doubt be disappointing and frustrating to</w:t>
      </w:r>
      <w:r w:rsidRPr="00A45F87">
        <w:rPr>
          <w:rFonts w:ascii="Arial" w:hAnsi="Arial" w:cs="Arial"/>
        </w:rPr>
        <w:br/>
        <w:t xml:space="preserve">members. </w:t>
      </w:r>
      <w:proofErr w:type="gramStart"/>
      <w:r w:rsidRPr="00A45F87">
        <w:rPr>
          <w:rFonts w:ascii="Arial" w:hAnsi="Arial" w:cs="Arial"/>
        </w:rPr>
        <w:t>In order to</w:t>
      </w:r>
      <w:proofErr w:type="gramEnd"/>
      <w:r w:rsidRPr="00A45F87">
        <w:rPr>
          <w:rFonts w:ascii="Arial" w:hAnsi="Arial" w:cs="Arial"/>
        </w:rPr>
        <w:t xml:space="preserve"> reassure them it may help to confirm that the Government</w:t>
      </w:r>
      <w:r w:rsidRPr="00A45F87">
        <w:rPr>
          <w:rFonts w:ascii="Arial" w:hAnsi="Arial" w:cs="Arial"/>
        </w:rPr>
        <w:br/>
        <w:t xml:space="preserve">accepted the Courts’ findings in the </w:t>
      </w:r>
      <w:proofErr w:type="spellStart"/>
      <w:r w:rsidRPr="00A45F87">
        <w:rPr>
          <w:rFonts w:ascii="Arial" w:hAnsi="Arial" w:cs="Arial"/>
        </w:rPr>
        <w:t>Sargeant</w:t>
      </w:r>
      <w:proofErr w:type="spellEnd"/>
      <w:r w:rsidRPr="00A45F87">
        <w:rPr>
          <w:rFonts w:ascii="Arial" w:hAnsi="Arial" w:cs="Arial"/>
        </w:rPr>
        <w:t xml:space="preserve"> and McCloud legal cases and are</w:t>
      </w:r>
      <w:r w:rsidRPr="00A45F87">
        <w:rPr>
          <w:rFonts w:ascii="Arial" w:hAnsi="Arial" w:cs="Arial"/>
        </w:rPr>
        <w:br/>
        <w:t>committed to treating claimants and non-claimants in the same manner. However,</w:t>
      </w:r>
      <w:r w:rsidRPr="00A45F87">
        <w:rPr>
          <w:rFonts w:ascii="Arial" w:hAnsi="Arial" w:cs="Arial"/>
        </w:rPr>
        <w:br/>
        <w:t>the discussions on remedy are ongoing and the guidance required for processing</w:t>
      </w:r>
      <w:r w:rsidRPr="00A45F87">
        <w:rPr>
          <w:rFonts w:ascii="Arial" w:hAnsi="Arial" w:cs="Arial"/>
        </w:rPr>
        <w:br/>
        <w:t>immediate cases is still not available. The need for this information to be made</w:t>
      </w:r>
      <w:r w:rsidRPr="00A45F87">
        <w:rPr>
          <w:rFonts w:ascii="Arial" w:hAnsi="Arial" w:cs="Arial"/>
        </w:rPr>
        <w:br/>
        <w:t>available as soon as possible is frequently highlighted to the Home Office and HM</w:t>
      </w:r>
      <w:r w:rsidRPr="00A45F87">
        <w:rPr>
          <w:rFonts w:ascii="Arial" w:hAnsi="Arial" w:cs="Arial"/>
        </w:rPr>
        <w:br/>
        <w:t>Treasury.</w:t>
      </w:r>
    </w:p>
    <w:p w14:paraId="6EF78A7B" w14:textId="77777777" w:rsidR="00E877BD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We understand from written statement HCWS187 that initial proposals are to return</w:t>
      </w:r>
      <w:r w:rsidRPr="00A45F87">
        <w:rPr>
          <w:rFonts w:ascii="Arial" w:hAnsi="Arial" w:cs="Arial"/>
        </w:rPr>
        <w:br/>
        <w:t>members to their former final salary scheme for the ‘remedy period’, but to offer a</w:t>
      </w:r>
      <w:r w:rsidRPr="00A45F87">
        <w:rPr>
          <w:rFonts w:ascii="Arial" w:hAnsi="Arial" w:cs="Arial"/>
        </w:rPr>
        <w:br/>
        <w:t>choice to the member, including those who were deemed protected in the final salary</w:t>
      </w:r>
      <w:r w:rsidRPr="00A45F87">
        <w:rPr>
          <w:rFonts w:ascii="Arial" w:hAnsi="Arial" w:cs="Arial"/>
        </w:rPr>
        <w:br/>
        <w:t>scheme, to receive benefits based on the current Career Average Revalued</w:t>
      </w:r>
      <w:r w:rsidRPr="00A45F87">
        <w:rPr>
          <w:rFonts w:ascii="Arial" w:hAnsi="Arial" w:cs="Arial"/>
        </w:rPr>
        <w:br/>
        <w:t>Earnings (CARE) scheme if it is better to do so. At this stage it is not clear when the</w:t>
      </w:r>
      <w:r w:rsidRPr="00A45F87">
        <w:rPr>
          <w:rFonts w:ascii="Arial" w:hAnsi="Arial" w:cs="Arial"/>
        </w:rPr>
        <w:br/>
        <w:t>end of the ‘remedy period’ will be, however, it is not expected to be before 2022, as</w:t>
      </w:r>
      <w:r w:rsidRPr="00A45F87">
        <w:rPr>
          <w:rFonts w:ascii="Arial" w:hAnsi="Arial" w:cs="Arial"/>
        </w:rPr>
        <w:br/>
        <w:t>the current working assumption is that it will take three years to bring in these</w:t>
      </w:r>
      <w:r w:rsidRPr="00A45F87">
        <w:rPr>
          <w:rFonts w:ascii="Arial" w:hAnsi="Arial" w:cs="Arial"/>
        </w:rPr>
        <w:br/>
        <w:t>proposals.</w:t>
      </w:r>
    </w:p>
    <w:p w14:paraId="77536466" w14:textId="77777777" w:rsidR="00E877BD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</w:r>
      <w:proofErr w:type="gramStart"/>
      <w:r w:rsidRPr="00A45F87">
        <w:rPr>
          <w:rFonts w:ascii="Arial" w:hAnsi="Arial" w:cs="Arial"/>
        </w:rPr>
        <w:t>As yet</w:t>
      </w:r>
      <w:proofErr w:type="gramEnd"/>
      <w:r w:rsidRPr="00A45F87">
        <w:rPr>
          <w:rFonts w:ascii="Arial" w:hAnsi="Arial" w:cs="Arial"/>
        </w:rPr>
        <w:t xml:space="preserve"> we do not know when the member might make the choice. We understand</w:t>
      </w:r>
      <w:r w:rsidRPr="00A45F87">
        <w:rPr>
          <w:rFonts w:ascii="Arial" w:hAnsi="Arial" w:cs="Arial"/>
        </w:rPr>
        <w:br/>
        <w:t>that this could be either:</w:t>
      </w:r>
    </w:p>
    <w:p w14:paraId="430F5A0F" w14:textId="77777777" w:rsidR="00E877BD" w:rsidRDefault="00E877BD" w:rsidP="00E877BD">
      <w:pPr>
        <w:pStyle w:val="NoSpacing"/>
        <w:ind w:left="1276" w:hanging="567"/>
        <w:jc w:val="both"/>
        <w:rPr>
          <w:rFonts w:ascii="Arial" w:hAnsi="Arial" w:cs="Arial"/>
        </w:rPr>
      </w:pPr>
    </w:p>
    <w:p w14:paraId="31C27040" w14:textId="0B59128E" w:rsidR="00C9023F" w:rsidRDefault="00342528" w:rsidP="00C9023F">
      <w:pPr>
        <w:pStyle w:val="NoSpacing"/>
        <w:numPr>
          <w:ilvl w:val="0"/>
          <w:numId w:val="38"/>
        </w:numPr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At the end of the remedy period, this will be the same time right across public</w:t>
      </w:r>
      <w:r w:rsidRPr="00A45F87">
        <w:rPr>
          <w:rFonts w:ascii="Arial" w:hAnsi="Arial" w:cs="Arial"/>
        </w:rPr>
        <w:br/>
        <w:t>sector,</w:t>
      </w:r>
    </w:p>
    <w:p w14:paraId="4931495C" w14:textId="77777777" w:rsidR="00C9023F" w:rsidRDefault="00342528" w:rsidP="00C9023F">
      <w:pPr>
        <w:pStyle w:val="NoSpacing"/>
        <w:numPr>
          <w:ilvl w:val="0"/>
          <w:numId w:val="38"/>
        </w:numPr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At the members retirement age.</w:t>
      </w:r>
    </w:p>
    <w:p w14:paraId="06840DF6" w14:textId="77777777" w:rsidR="00017168" w:rsidRDefault="00017168" w:rsidP="00017168">
      <w:pPr>
        <w:pStyle w:val="NoSpacing"/>
        <w:ind w:left="709"/>
        <w:jc w:val="both"/>
        <w:rPr>
          <w:rFonts w:ascii="Arial" w:hAnsi="Arial" w:cs="Arial"/>
        </w:rPr>
      </w:pPr>
    </w:p>
    <w:p w14:paraId="10843355" w14:textId="77777777" w:rsidR="00CC4C31" w:rsidRDefault="00342528" w:rsidP="00017168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We appreciate that those who are retiring in the more immediate future may want</w:t>
      </w:r>
      <w:r w:rsidRPr="00A45F87">
        <w:rPr>
          <w:rFonts w:ascii="Arial" w:hAnsi="Arial" w:cs="Arial"/>
        </w:rPr>
        <w:br/>
        <w:t>more certainty over their benefits. The Scheme Advisory Board (SAB) requested</w:t>
      </w:r>
      <w:r w:rsidRPr="00A45F87">
        <w:rPr>
          <w:rFonts w:ascii="Arial" w:hAnsi="Arial" w:cs="Arial"/>
        </w:rPr>
        <w:br/>
        <w:t xml:space="preserve">data on immediate events from each Fire and Rescue Authority (FRA) </w:t>
      </w:r>
      <w:proofErr w:type="gramStart"/>
      <w:r w:rsidRPr="00A45F87">
        <w:rPr>
          <w:rFonts w:ascii="Arial" w:hAnsi="Arial" w:cs="Arial"/>
        </w:rPr>
        <w:t>in order to</w:t>
      </w:r>
      <w:proofErr w:type="gramEnd"/>
      <w:r w:rsidRPr="00A45F87">
        <w:rPr>
          <w:rFonts w:ascii="Arial" w:hAnsi="Arial" w:cs="Arial"/>
        </w:rPr>
        <w:br/>
        <w:t>highlight the number of immediate cases that cannot be progressed because of a</w:t>
      </w:r>
      <w:r w:rsidRPr="00A45F87">
        <w:rPr>
          <w:rFonts w:ascii="Arial" w:hAnsi="Arial" w:cs="Arial"/>
        </w:rPr>
        <w:br/>
        <w:t>lack of guidance. Unfortunately, only 28 of the 45 English FRAs responded to this</w:t>
      </w:r>
      <w:r w:rsidRPr="00A45F87">
        <w:rPr>
          <w:rFonts w:ascii="Arial" w:hAnsi="Arial" w:cs="Arial"/>
        </w:rPr>
        <w:br/>
        <w:t>request, despite an extension to 16 March 2020.</w:t>
      </w:r>
    </w:p>
    <w:p w14:paraId="5C879AA0" w14:textId="77777777" w:rsidR="00F82086" w:rsidRDefault="00342528" w:rsidP="00017168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The information we did receive was used in a paper to the SAB and subsequently</w:t>
      </w:r>
      <w:r w:rsidRPr="00A45F87">
        <w:rPr>
          <w:rFonts w:ascii="Arial" w:hAnsi="Arial" w:cs="Arial"/>
        </w:rPr>
        <w:br/>
        <w:t>supplied to government to highlight the number of immediate cases faced and the</w:t>
      </w:r>
      <w:r w:rsidRPr="00A45F87">
        <w:rPr>
          <w:rFonts w:ascii="Arial" w:hAnsi="Arial" w:cs="Arial"/>
        </w:rPr>
        <w:br/>
        <w:t>necessity for guidance to be supplied. We are continuing to actively push for that</w:t>
      </w:r>
      <w:r w:rsidRPr="00A45F87">
        <w:rPr>
          <w:rFonts w:ascii="Arial" w:hAnsi="Arial" w:cs="Arial"/>
        </w:rPr>
        <w:br/>
        <w:t>guidance as soon as possible.</w:t>
      </w:r>
    </w:p>
    <w:p w14:paraId="1A3C0D51" w14:textId="77777777" w:rsidR="00F82086" w:rsidRDefault="00342528" w:rsidP="00017168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Our understanding is that if firefighters retire before remedy has been applied to the</w:t>
      </w:r>
      <w:r w:rsidRPr="00A45F87">
        <w:rPr>
          <w:rFonts w:ascii="Arial" w:hAnsi="Arial" w:cs="Arial"/>
        </w:rPr>
        <w:br/>
        <w:t>schemes, they will remain eligible for their position to be remedied retrospectively</w:t>
      </w:r>
      <w:r w:rsidRPr="00A45F87">
        <w:rPr>
          <w:rFonts w:ascii="Arial" w:hAnsi="Arial" w:cs="Arial"/>
        </w:rPr>
        <w:br/>
      </w:r>
      <w:r w:rsidRPr="00A45F87">
        <w:rPr>
          <w:rFonts w:ascii="Arial" w:hAnsi="Arial" w:cs="Arial"/>
        </w:rPr>
        <w:lastRenderedPageBreak/>
        <w:t xml:space="preserve">and benefits recalculated if necessary. The </w:t>
      </w:r>
      <w:proofErr w:type="spellStart"/>
      <w:r w:rsidRPr="00A45F87">
        <w:rPr>
          <w:rFonts w:ascii="Arial" w:hAnsi="Arial" w:cs="Arial"/>
        </w:rPr>
        <w:t>Sargeant</w:t>
      </w:r>
      <w:proofErr w:type="spellEnd"/>
      <w:r w:rsidRPr="00A45F87">
        <w:rPr>
          <w:rFonts w:ascii="Arial" w:hAnsi="Arial" w:cs="Arial"/>
        </w:rPr>
        <w:t xml:space="preserve"> factsheet released by the</w:t>
      </w:r>
      <w:r w:rsidRPr="00A45F87">
        <w:rPr>
          <w:rFonts w:ascii="Arial" w:hAnsi="Arial" w:cs="Arial"/>
        </w:rPr>
        <w:br/>
        <w:t>Home Office stated that individuals will keep benefits they have accrued regardless</w:t>
      </w:r>
      <w:r w:rsidRPr="00A45F87">
        <w:rPr>
          <w:rFonts w:ascii="Arial" w:hAnsi="Arial" w:cs="Arial"/>
        </w:rPr>
        <w:br/>
        <w:t>of changes needed to remove discrimination.</w:t>
      </w:r>
    </w:p>
    <w:p w14:paraId="0EACAD14" w14:textId="1227294E" w:rsidR="00342528" w:rsidRPr="00A45F87" w:rsidRDefault="00342528" w:rsidP="00017168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In the meantime, it is important that FRAs ensure they are ready to remedy the</w:t>
      </w:r>
      <w:r w:rsidRPr="00A45F87">
        <w:rPr>
          <w:rFonts w:ascii="Arial" w:hAnsi="Arial" w:cs="Arial"/>
        </w:rPr>
        <w:br/>
        <w:t>benefits once this guidance is available and we want to take the opportunity to</w:t>
      </w:r>
      <w:r w:rsidRPr="00A45F87">
        <w:rPr>
          <w:rFonts w:ascii="Arial" w:hAnsi="Arial" w:cs="Arial"/>
        </w:rPr>
        <w:br/>
        <w:t>remind you of our guidance on ill-health cases in FPS Bulletin 28 - January 2020 to</w:t>
      </w:r>
      <w:r w:rsidRPr="00A45F87">
        <w:rPr>
          <w:rFonts w:ascii="Arial" w:hAnsi="Arial" w:cs="Arial"/>
        </w:rPr>
        <w:br/>
        <w:t>ensure that you have an IQMP decision under both schemes if necessary.</w:t>
      </w:r>
    </w:p>
    <w:p w14:paraId="11788BAB" w14:textId="77777777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</w:p>
    <w:p w14:paraId="53FD36E1" w14:textId="77777777" w:rsidR="00C30387" w:rsidRDefault="00342528" w:rsidP="00A45F87">
      <w:pPr>
        <w:pStyle w:val="NoSpacing"/>
        <w:ind w:left="709"/>
        <w:jc w:val="both"/>
        <w:rPr>
          <w:rFonts w:ascii="Arial" w:hAnsi="Arial" w:cs="Arial"/>
          <w:b/>
          <w:bCs/>
        </w:rPr>
      </w:pPr>
      <w:r w:rsidRPr="00A45F87">
        <w:rPr>
          <w:rFonts w:ascii="Arial" w:hAnsi="Arial" w:cs="Arial"/>
          <w:b/>
          <w:bCs/>
        </w:rPr>
        <w:t>Annual Local Pension Board wrap-up training 2020</w:t>
      </w:r>
    </w:p>
    <w:p w14:paraId="1AB35260" w14:textId="77777777" w:rsidR="001827A5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We are once again running our popular annual Local Pension Board (LPB) wrap-up</w:t>
      </w:r>
      <w:r w:rsidRPr="00A45F87">
        <w:rPr>
          <w:rFonts w:ascii="Arial" w:hAnsi="Arial" w:cs="Arial"/>
        </w:rPr>
        <w:br/>
        <w:t>session, for board members who are either new to the board or those wanting an</w:t>
      </w:r>
      <w:r w:rsidRPr="00A45F87">
        <w:rPr>
          <w:rFonts w:ascii="Arial" w:hAnsi="Arial" w:cs="Arial"/>
        </w:rPr>
        <w:br/>
        <w:t>opportunity to refresh themselves on the principles of governance for the Firefighters'</w:t>
      </w:r>
      <w:r w:rsidRPr="00A45F87">
        <w:rPr>
          <w:rFonts w:ascii="Arial" w:hAnsi="Arial" w:cs="Arial"/>
        </w:rPr>
        <w:br/>
        <w:t>Pension Schemes. Details of our previous wrap-up sessions can be found here.</w:t>
      </w:r>
      <w:r w:rsidRPr="00A45F87">
        <w:rPr>
          <w:rFonts w:ascii="Arial" w:hAnsi="Arial" w:cs="Arial"/>
        </w:rPr>
        <w:br/>
        <w:t>We are delighted to welcome Nick Gannon from TPR who will be joining us for a</w:t>
      </w:r>
      <w:r w:rsidRPr="00A45F87">
        <w:rPr>
          <w:rFonts w:ascii="Arial" w:hAnsi="Arial" w:cs="Arial"/>
        </w:rPr>
        <w:br/>
        <w:t>session on last year's TPR governance and administration survey results; you may</w:t>
      </w:r>
      <w:r w:rsidRPr="00A45F87">
        <w:rPr>
          <w:rFonts w:ascii="Arial" w:hAnsi="Arial" w:cs="Arial"/>
        </w:rPr>
        <w:br/>
        <w:t>wish to read the six key processes factsheet to refresh yourselves on the processes</w:t>
      </w:r>
      <w:r w:rsidRPr="00A45F87">
        <w:rPr>
          <w:rFonts w:ascii="Arial" w:hAnsi="Arial" w:cs="Arial"/>
        </w:rPr>
        <w:br/>
        <w:t>that TPR monitors.</w:t>
      </w:r>
    </w:p>
    <w:p w14:paraId="009EF8FA" w14:textId="1CF39806" w:rsidR="001827A5" w:rsidRDefault="00342528" w:rsidP="00A45F87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br/>
        <w:t>We are running this session via Zoom across two dates: 10 June and 8 July, from</w:t>
      </w:r>
      <w:r w:rsidRPr="00A45F87">
        <w:rPr>
          <w:rFonts w:ascii="Arial" w:hAnsi="Arial" w:cs="Arial"/>
        </w:rPr>
        <w:br/>
        <w:t>11:00 until 13:30.</w:t>
      </w:r>
    </w:p>
    <w:p w14:paraId="5892E9D3" w14:textId="6DC23A80" w:rsidR="00342528" w:rsidRPr="00A45F87" w:rsidRDefault="00342528" w:rsidP="00A45F87">
      <w:pPr>
        <w:pStyle w:val="NoSpacing"/>
        <w:ind w:left="709"/>
        <w:jc w:val="both"/>
        <w:rPr>
          <w:rFonts w:ascii="Arial" w:hAnsi="Arial" w:cs="Arial"/>
        </w:rPr>
      </w:pPr>
    </w:p>
    <w:p w14:paraId="7F4DFE38" w14:textId="06EC0C18" w:rsidR="006951C5" w:rsidRDefault="00342528" w:rsidP="00BB3DE3">
      <w:pPr>
        <w:pStyle w:val="NoSpacing"/>
        <w:ind w:left="709"/>
        <w:jc w:val="both"/>
        <w:rPr>
          <w:rFonts w:ascii="Arial" w:hAnsi="Arial" w:cs="Arial"/>
        </w:rPr>
      </w:pPr>
      <w:r w:rsidRPr="00A45F87">
        <w:rPr>
          <w:rFonts w:ascii="Arial" w:hAnsi="Arial" w:cs="Arial"/>
        </w:rPr>
        <w:t>[if anyone else is interested in attending the 8 July webinar, please contact the Pensions Administrator/Manager].</w:t>
      </w:r>
    </w:p>
    <w:p w14:paraId="2898B802" w14:textId="05D7DC8D" w:rsidR="00BB3DE3" w:rsidRDefault="00BB3DE3" w:rsidP="00BB3DE3">
      <w:pPr>
        <w:pStyle w:val="NoSpacing"/>
        <w:ind w:left="709"/>
        <w:jc w:val="both"/>
        <w:rPr>
          <w:rFonts w:ascii="Arial" w:hAnsi="Arial" w:cs="Arial"/>
        </w:rPr>
      </w:pPr>
    </w:p>
    <w:p w14:paraId="4534CD10" w14:textId="77777777" w:rsidR="00BB3DE3" w:rsidRPr="00F2323F" w:rsidRDefault="00BB3DE3" w:rsidP="00BB3DE3">
      <w:pPr>
        <w:pStyle w:val="NoSpacing"/>
        <w:ind w:left="709"/>
        <w:jc w:val="both"/>
        <w:rPr>
          <w:rFonts w:ascii="Arial" w:hAnsi="Arial" w:cs="Arial"/>
        </w:rPr>
      </w:pPr>
    </w:p>
    <w:p w14:paraId="73F623FE" w14:textId="495CC365" w:rsidR="00936A95" w:rsidRPr="00F2323F" w:rsidRDefault="006E13DD" w:rsidP="00BB3DE3">
      <w:pPr>
        <w:pStyle w:val="NoSpacing"/>
        <w:ind w:left="720" w:hanging="720"/>
        <w:jc w:val="both"/>
        <w:rPr>
          <w:rFonts w:ascii="Arial" w:hAnsi="Arial" w:cs="Arial"/>
          <w:b/>
        </w:rPr>
      </w:pPr>
      <w:r w:rsidRPr="00F2323F">
        <w:rPr>
          <w:rStyle w:val="fontstyle31"/>
          <w:rFonts w:ascii="Arial" w:hAnsi="Arial" w:cs="Arial"/>
          <w:b/>
        </w:rPr>
        <w:t>9</w:t>
      </w:r>
      <w:r w:rsidR="00E14E24" w:rsidRPr="00F2323F">
        <w:rPr>
          <w:rStyle w:val="fontstyle31"/>
          <w:rFonts w:ascii="Arial" w:hAnsi="Arial" w:cs="Arial"/>
          <w:b/>
        </w:rPr>
        <w:t>.0</w:t>
      </w:r>
      <w:r w:rsidR="00E14E24" w:rsidRPr="00F2323F">
        <w:rPr>
          <w:rStyle w:val="fontstyle31"/>
          <w:rFonts w:ascii="Arial" w:hAnsi="Arial" w:cs="Arial"/>
          <w:b/>
        </w:rPr>
        <w:tab/>
      </w:r>
      <w:r w:rsidR="00521909" w:rsidRPr="00F2323F">
        <w:rPr>
          <w:rStyle w:val="fontstyle01"/>
          <w:rFonts w:ascii="Arial" w:hAnsi="Arial" w:cs="Arial"/>
          <w:b/>
          <w:u w:val="single"/>
        </w:rPr>
        <w:t>West Yorkshire Pension Fund Key Performance Indicators</w:t>
      </w:r>
    </w:p>
    <w:p w14:paraId="473FCDAB" w14:textId="4E3D37E6" w:rsidR="00536008" w:rsidRPr="00F2323F" w:rsidRDefault="006E13DD" w:rsidP="00F74440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9</w:t>
      </w:r>
      <w:r w:rsidR="00AE383A" w:rsidRPr="00F2323F">
        <w:rPr>
          <w:rFonts w:ascii="Arial" w:hAnsi="Arial" w:cs="Arial"/>
        </w:rPr>
        <w:t>.1</w:t>
      </w:r>
      <w:r w:rsidR="00AE383A" w:rsidRPr="00F2323F">
        <w:rPr>
          <w:rFonts w:ascii="Arial" w:hAnsi="Arial" w:cs="Arial"/>
        </w:rPr>
        <w:tab/>
      </w:r>
      <w:r w:rsidR="00282490" w:rsidRPr="00F2323F">
        <w:rPr>
          <w:rFonts w:ascii="Arial" w:hAnsi="Arial" w:cs="Arial"/>
        </w:rPr>
        <w:t xml:space="preserve">WYPF </w:t>
      </w:r>
      <w:r w:rsidR="00AE383A" w:rsidRPr="00F2323F">
        <w:rPr>
          <w:rFonts w:ascii="Arial" w:hAnsi="Arial" w:cs="Arial"/>
        </w:rPr>
        <w:t>provide</w:t>
      </w:r>
      <w:r w:rsidR="000B0301" w:rsidRPr="00F2323F">
        <w:rPr>
          <w:rFonts w:ascii="Arial" w:hAnsi="Arial" w:cs="Arial"/>
        </w:rPr>
        <w:t>s</w:t>
      </w:r>
      <w:r w:rsidR="00AE383A" w:rsidRPr="00F2323F">
        <w:rPr>
          <w:rFonts w:ascii="Arial" w:hAnsi="Arial" w:cs="Arial"/>
        </w:rPr>
        <w:t xml:space="preserve"> monthly reporting</w:t>
      </w:r>
      <w:r w:rsidR="00145254" w:rsidRPr="00F2323F">
        <w:rPr>
          <w:rFonts w:ascii="Arial" w:hAnsi="Arial" w:cs="Arial"/>
        </w:rPr>
        <w:t xml:space="preserve"> on administration</w:t>
      </w:r>
      <w:r w:rsidR="00AE383A" w:rsidRPr="00F2323F">
        <w:rPr>
          <w:rFonts w:ascii="Arial" w:hAnsi="Arial" w:cs="Arial"/>
        </w:rPr>
        <w:t xml:space="preserve"> </w:t>
      </w:r>
      <w:r w:rsidR="00145254" w:rsidRPr="00F2323F">
        <w:rPr>
          <w:rFonts w:ascii="Arial" w:hAnsi="Arial" w:cs="Arial"/>
        </w:rPr>
        <w:t xml:space="preserve">matters </w:t>
      </w:r>
      <w:r w:rsidR="00530CAB" w:rsidRPr="00F2323F">
        <w:rPr>
          <w:rFonts w:ascii="Arial" w:hAnsi="Arial" w:cs="Arial"/>
        </w:rPr>
        <w:t xml:space="preserve">and </w:t>
      </w:r>
      <w:r w:rsidR="00AE383A" w:rsidRPr="00F2323F">
        <w:rPr>
          <w:rFonts w:ascii="Arial" w:hAnsi="Arial" w:cs="Arial"/>
        </w:rPr>
        <w:t>Key Performance Indicators</w:t>
      </w:r>
      <w:r w:rsidR="00091F30" w:rsidRPr="00F2323F">
        <w:rPr>
          <w:rFonts w:ascii="Arial" w:hAnsi="Arial" w:cs="Arial"/>
        </w:rPr>
        <w:t xml:space="preserve"> (KPI)</w:t>
      </w:r>
      <w:r w:rsidR="00145254" w:rsidRPr="00F2323F">
        <w:rPr>
          <w:rFonts w:ascii="Arial" w:hAnsi="Arial" w:cs="Arial"/>
        </w:rPr>
        <w:t>.  The latest KPI results</w:t>
      </w:r>
      <w:r w:rsidR="00091F30" w:rsidRPr="00F2323F">
        <w:rPr>
          <w:rFonts w:ascii="Arial" w:hAnsi="Arial" w:cs="Arial"/>
        </w:rPr>
        <w:t xml:space="preserve"> </w:t>
      </w:r>
      <w:r w:rsidR="00145254" w:rsidRPr="00F2323F">
        <w:rPr>
          <w:rFonts w:ascii="Arial" w:hAnsi="Arial" w:cs="Arial"/>
        </w:rPr>
        <w:t xml:space="preserve">are shown below.  </w:t>
      </w:r>
    </w:p>
    <w:p w14:paraId="3B930EB6" w14:textId="4FA32808" w:rsidR="00D91BC1" w:rsidRDefault="00106818" w:rsidP="00BB1A7A">
      <w:pPr>
        <w:spacing w:line="240" w:lineRule="auto"/>
        <w:ind w:firstLine="142"/>
        <w:jc w:val="both"/>
        <w:rPr>
          <w:rFonts w:ascii="Arial" w:hAnsi="Arial" w:cs="Arial"/>
        </w:rPr>
      </w:pPr>
      <w:r w:rsidRPr="00F2323F">
        <w:rPr>
          <w:rFonts w:ascii="Arial" w:hAnsi="Arial" w:cs="Arial"/>
          <w:noProof/>
        </w:rPr>
        <w:drawing>
          <wp:inline distT="0" distB="0" distL="0" distR="0" wp14:anchorId="066E1B11" wp14:editId="06DD3D2C">
            <wp:extent cx="5731510" cy="29317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2BC61" w14:textId="41439858" w:rsidR="00216D03" w:rsidRPr="00F2323F" w:rsidRDefault="008B7D46" w:rsidP="00525003">
      <w:pPr>
        <w:spacing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E31742" wp14:editId="6A544AE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800725" cy="1152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9DFEBE" w14:textId="59F1E82F" w:rsidR="007F0FEE" w:rsidRPr="00D536E6" w:rsidRDefault="007F0FEE" w:rsidP="006A0973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6E13DD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.0</w:t>
                            </w:r>
                            <w:r w:rsidRPr="00D536E6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536E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Recommendations</w:t>
                            </w:r>
                            <w:proofErr w:type="gramEnd"/>
                          </w:p>
                          <w:p w14:paraId="5B79EFC9" w14:textId="37363F20" w:rsidR="00203962" w:rsidRDefault="007F0FEE" w:rsidP="003F34CA">
                            <w:pPr>
                              <w:ind w:left="567" w:hanging="567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6E13DD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.1  </w:t>
                            </w:r>
                            <w:r w:rsidRPr="00AF1D8C">
                              <w:rPr>
                                <w:rFonts w:ascii="Arial" w:hAnsi="Arial" w:cs="Arial"/>
                              </w:rPr>
                              <w:t>That</w:t>
                            </w:r>
                            <w:proofErr w:type="gramEnd"/>
                            <w:r w:rsidRPr="00AF1D8C">
                              <w:rPr>
                                <w:rFonts w:ascii="Arial" w:hAnsi="Arial" w:cs="Arial"/>
                              </w:rPr>
                              <w:t xml:space="preserve"> Members</w:t>
                            </w:r>
                            <w:r w:rsidR="00BE4C2A">
                              <w:rPr>
                                <w:rFonts w:ascii="Arial" w:hAnsi="Arial" w:cs="Arial"/>
                              </w:rPr>
                              <w:t xml:space="preserve"> note the content of the report</w:t>
                            </w:r>
                            <w:r w:rsidR="003F34CA">
                              <w:rPr>
                                <w:rFonts w:ascii="Arial" w:hAnsi="Arial" w:cs="Arial"/>
                              </w:rPr>
                              <w:t xml:space="preserve"> and</w:t>
                            </w:r>
                            <w:r w:rsidR="0020396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51A2F66" w14:textId="75EEDA06" w:rsidR="007F0FEE" w:rsidRPr="0027120B" w:rsidRDefault="00FC5285" w:rsidP="0027120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851" w:hanging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approve </w:t>
                            </w:r>
                            <w:r w:rsidR="006C036E" w:rsidRPr="006C036E">
                              <w:rPr>
                                <w:rFonts w:ascii="Arial" w:hAnsi="Arial" w:cs="Arial"/>
                              </w:rPr>
                              <w:t xml:space="preserve">the Annual Report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="006C036E" w:rsidRPr="006C036E">
                              <w:rPr>
                                <w:rFonts w:ascii="Arial" w:hAnsi="Arial" w:cs="Arial"/>
                              </w:rPr>
                              <w:t>submi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ssion </w:t>
                            </w:r>
                            <w:r w:rsidR="006C036E" w:rsidRPr="006C036E">
                              <w:rPr>
                                <w:rFonts w:ascii="Arial" w:hAnsi="Arial" w:cs="Arial"/>
                              </w:rPr>
                              <w:t>to the OFPCC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inclusion on the Service’s Pension Board area of its </w:t>
                            </w:r>
                            <w:r w:rsidRPr="00E73BB4">
                              <w:rPr>
                                <w:rFonts w:ascii="Arial" w:hAnsi="Arial" w:cs="Arial"/>
                              </w:rPr>
                              <w:t>website</w:t>
                            </w:r>
                            <w:r w:rsidR="006C036E" w:rsidRPr="00E73BB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3FB8" w:rsidRPr="00E73BB4">
                              <w:rPr>
                                <w:rFonts w:ascii="Arial" w:hAnsi="Arial" w:cs="Arial"/>
                              </w:rPr>
                              <w:t xml:space="preserve">(paragraph </w:t>
                            </w:r>
                            <w:r w:rsidR="00E73BB4" w:rsidRPr="00E73BB4">
                              <w:rPr>
                                <w:rFonts w:ascii="Arial" w:hAnsi="Arial" w:cs="Arial"/>
                              </w:rPr>
                              <w:t>6.</w:t>
                            </w:r>
                            <w:r w:rsidR="0027120B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2E3FB8" w:rsidRPr="00E73BB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1742" id="Text Box 2" o:spid="_x0000_s1027" type="#_x0000_t202" style="position:absolute;left:0;text-align:left;margin-left:0;margin-top:.75pt;width:456.75pt;height:90.7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" fillcolor="#bfbfbf [2412]" strokeweight=".5pt">
                <v:textbox>
                  <w:txbxContent>
                    <w:p w14:paraId="289DFEBE" w14:textId="59F1E82F" w:rsidR="007F0FEE" w:rsidRPr="00D536E6" w:rsidRDefault="007F0FEE" w:rsidP="006A0973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6E13DD">
                        <w:rPr>
                          <w:rFonts w:ascii="Arial" w:hAnsi="Arial" w:cs="Arial"/>
                          <w:b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</w:rPr>
                        <w:t>.0</w:t>
                      </w:r>
                      <w:r w:rsidRPr="00D536E6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536E6">
                        <w:rPr>
                          <w:rFonts w:ascii="Arial" w:hAnsi="Arial" w:cs="Arial"/>
                          <w:b/>
                          <w:u w:val="single"/>
                        </w:rPr>
                        <w:t>Recommendations</w:t>
                      </w:r>
                      <w:proofErr w:type="gramEnd"/>
                    </w:p>
                    <w:p w14:paraId="5B79EFC9" w14:textId="37363F20" w:rsidR="00203962" w:rsidRDefault="007F0FEE" w:rsidP="003F34CA">
                      <w:pPr>
                        <w:ind w:left="567" w:hanging="567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6E13DD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 xml:space="preserve">.1  </w:t>
                      </w:r>
                      <w:r w:rsidRPr="00AF1D8C">
                        <w:rPr>
                          <w:rFonts w:ascii="Arial" w:hAnsi="Arial" w:cs="Arial"/>
                        </w:rPr>
                        <w:t>That</w:t>
                      </w:r>
                      <w:proofErr w:type="gramEnd"/>
                      <w:r w:rsidRPr="00AF1D8C">
                        <w:rPr>
                          <w:rFonts w:ascii="Arial" w:hAnsi="Arial" w:cs="Arial"/>
                        </w:rPr>
                        <w:t xml:space="preserve"> Members</w:t>
                      </w:r>
                      <w:r w:rsidR="00BE4C2A">
                        <w:rPr>
                          <w:rFonts w:ascii="Arial" w:hAnsi="Arial" w:cs="Arial"/>
                        </w:rPr>
                        <w:t xml:space="preserve"> note the content of the report</w:t>
                      </w:r>
                      <w:r w:rsidR="003F34CA">
                        <w:rPr>
                          <w:rFonts w:ascii="Arial" w:hAnsi="Arial" w:cs="Arial"/>
                        </w:rPr>
                        <w:t xml:space="preserve"> and</w:t>
                      </w:r>
                      <w:r w:rsidR="0020396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51A2F66" w14:textId="75EEDA06" w:rsidR="007F0FEE" w:rsidRPr="0027120B" w:rsidRDefault="00FC5285" w:rsidP="0027120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851" w:hanging="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approve </w:t>
                      </w:r>
                      <w:r w:rsidR="006C036E" w:rsidRPr="006C036E">
                        <w:rPr>
                          <w:rFonts w:ascii="Arial" w:hAnsi="Arial" w:cs="Arial"/>
                        </w:rPr>
                        <w:t xml:space="preserve">the Annual Report </w:t>
                      </w:r>
                      <w:r>
                        <w:rPr>
                          <w:rFonts w:ascii="Arial" w:hAnsi="Arial" w:cs="Arial"/>
                        </w:rPr>
                        <w:t xml:space="preserve">for </w:t>
                      </w:r>
                      <w:r w:rsidR="006C036E" w:rsidRPr="006C036E">
                        <w:rPr>
                          <w:rFonts w:ascii="Arial" w:hAnsi="Arial" w:cs="Arial"/>
                        </w:rPr>
                        <w:t>submi</w:t>
                      </w:r>
                      <w:r>
                        <w:rPr>
                          <w:rFonts w:ascii="Arial" w:hAnsi="Arial" w:cs="Arial"/>
                        </w:rPr>
                        <w:t xml:space="preserve">ssion </w:t>
                      </w:r>
                      <w:r w:rsidR="006C036E" w:rsidRPr="006C036E">
                        <w:rPr>
                          <w:rFonts w:ascii="Arial" w:hAnsi="Arial" w:cs="Arial"/>
                        </w:rPr>
                        <w:t>to the OFPCC</w:t>
                      </w:r>
                      <w:r>
                        <w:rPr>
                          <w:rFonts w:ascii="Arial" w:hAnsi="Arial" w:cs="Arial"/>
                        </w:rPr>
                        <w:t xml:space="preserve"> and inclusion on the Service’s Pension Board area of its </w:t>
                      </w:r>
                      <w:r w:rsidRPr="00E73BB4">
                        <w:rPr>
                          <w:rFonts w:ascii="Arial" w:hAnsi="Arial" w:cs="Arial"/>
                        </w:rPr>
                        <w:t>website</w:t>
                      </w:r>
                      <w:r w:rsidR="006C036E" w:rsidRPr="00E73BB4">
                        <w:rPr>
                          <w:rFonts w:ascii="Arial" w:hAnsi="Arial" w:cs="Arial"/>
                        </w:rPr>
                        <w:t xml:space="preserve"> </w:t>
                      </w:r>
                      <w:r w:rsidR="002E3FB8" w:rsidRPr="00E73BB4">
                        <w:rPr>
                          <w:rFonts w:ascii="Arial" w:hAnsi="Arial" w:cs="Arial"/>
                        </w:rPr>
                        <w:t xml:space="preserve">(paragraph </w:t>
                      </w:r>
                      <w:r w:rsidR="00E73BB4" w:rsidRPr="00E73BB4">
                        <w:rPr>
                          <w:rFonts w:ascii="Arial" w:hAnsi="Arial" w:cs="Arial"/>
                        </w:rPr>
                        <w:t>6.</w:t>
                      </w:r>
                      <w:r w:rsidR="0027120B">
                        <w:rPr>
                          <w:rFonts w:ascii="Arial" w:hAnsi="Arial" w:cs="Arial"/>
                        </w:rPr>
                        <w:t>6</w:t>
                      </w:r>
                      <w:r w:rsidR="002E3FB8" w:rsidRPr="00E73BB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185F1" w14:textId="050ACB8F" w:rsidR="00216D03" w:rsidRPr="00F2323F" w:rsidRDefault="00216D03" w:rsidP="00525003">
      <w:pPr>
        <w:spacing w:line="240" w:lineRule="auto"/>
        <w:ind w:left="720" w:hanging="720"/>
        <w:jc w:val="both"/>
        <w:rPr>
          <w:rFonts w:ascii="Arial" w:hAnsi="Arial" w:cs="Arial"/>
        </w:rPr>
      </w:pPr>
    </w:p>
    <w:p w14:paraId="704C4AEF" w14:textId="3460F83E" w:rsidR="00216D03" w:rsidRPr="00F2323F" w:rsidRDefault="00216D03" w:rsidP="00525003">
      <w:pPr>
        <w:spacing w:line="240" w:lineRule="auto"/>
        <w:ind w:left="720" w:hanging="720"/>
        <w:jc w:val="both"/>
        <w:rPr>
          <w:rFonts w:ascii="Arial" w:hAnsi="Arial" w:cs="Arial"/>
        </w:rPr>
      </w:pPr>
    </w:p>
    <w:p w14:paraId="39E3B19B" w14:textId="77777777" w:rsidR="00216D03" w:rsidRPr="00F2323F" w:rsidRDefault="00216D03" w:rsidP="00525003">
      <w:pPr>
        <w:spacing w:line="240" w:lineRule="auto"/>
        <w:ind w:left="720" w:hanging="720"/>
        <w:jc w:val="both"/>
        <w:rPr>
          <w:rFonts w:ascii="Arial" w:hAnsi="Arial" w:cs="Arial"/>
        </w:rPr>
      </w:pPr>
    </w:p>
    <w:p w14:paraId="0EB70C39" w14:textId="0B456918" w:rsidR="006A0973" w:rsidRPr="00F2323F" w:rsidRDefault="00DE3BAC" w:rsidP="00525003">
      <w:pPr>
        <w:spacing w:line="240" w:lineRule="auto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</w:rPr>
        <w:lastRenderedPageBreak/>
        <w:t>David Hood</w:t>
      </w:r>
    </w:p>
    <w:p w14:paraId="1F5C92FE" w14:textId="1A0FBEF0" w:rsidR="006A0973" w:rsidRPr="00F2323F" w:rsidRDefault="006A0973" w:rsidP="00525003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Pensions Administrator</w:t>
      </w:r>
      <w:r w:rsidR="003372E2" w:rsidRPr="00F2323F">
        <w:rPr>
          <w:rFonts w:ascii="Arial" w:hAnsi="Arial" w:cs="Arial"/>
        </w:rPr>
        <w:t xml:space="preserve"> </w:t>
      </w:r>
      <w:r w:rsidRPr="00F2323F">
        <w:rPr>
          <w:rFonts w:ascii="Arial" w:hAnsi="Arial" w:cs="Arial"/>
        </w:rPr>
        <w:t>/ Manager</w:t>
      </w:r>
    </w:p>
    <w:p w14:paraId="4B314C4E" w14:textId="74B04A99" w:rsidR="00B50FCE" w:rsidRPr="00F2323F" w:rsidRDefault="0070531B" w:rsidP="00722319">
      <w:pPr>
        <w:spacing w:line="240" w:lineRule="auto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1</w:t>
      </w:r>
      <w:r w:rsidR="006064F5">
        <w:rPr>
          <w:rFonts w:ascii="Arial" w:hAnsi="Arial" w:cs="Arial"/>
        </w:rPr>
        <w:t>7</w:t>
      </w:r>
      <w:r w:rsidRPr="00F2323F">
        <w:rPr>
          <w:rFonts w:ascii="Arial" w:hAnsi="Arial" w:cs="Arial"/>
        </w:rPr>
        <w:t xml:space="preserve"> June</w:t>
      </w:r>
      <w:r w:rsidR="00536008" w:rsidRPr="00F2323F">
        <w:rPr>
          <w:rFonts w:ascii="Arial" w:hAnsi="Arial" w:cs="Arial"/>
        </w:rPr>
        <w:t xml:space="preserve"> 2020</w:t>
      </w:r>
    </w:p>
    <w:p w14:paraId="21AB0D87" w14:textId="07891BA4" w:rsidR="0020710E" w:rsidRPr="00F2323F" w:rsidRDefault="006A0973" w:rsidP="00525003">
      <w:pPr>
        <w:spacing w:line="240" w:lineRule="auto"/>
        <w:jc w:val="both"/>
        <w:rPr>
          <w:rFonts w:ascii="Arial" w:hAnsi="Arial" w:cs="Arial"/>
          <w:b/>
        </w:rPr>
      </w:pPr>
      <w:r w:rsidRPr="00F2323F">
        <w:rPr>
          <w:rFonts w:ascii="Arial" w:hAnsi="Arial" w:cs="Arial"/>
          <w:b/>
          <w:u w:val="single"/>
        </w:rPr>
        <w:t>Background documents:</w:t>
      </w:r>
      <w:r w:rsidRPr="00F2323F">
        <w:rPr>
          <w:rFonts w:ascii="Arial" w:hAnsi="Arial" w:cs="Arial"/>
          <w:b/>
        </w:rPr>
        <w:t xml:space="preserve"> </w:t>
      </w:r>
    </w:p>
    <w:p w14:paraId="460654A5" w14:textId="09266987" w:rsidR="006A0973" w:rsidRPr="00F2323F" w:rsidRDefault="006A0973" w:rsidP="00525003">
      <w:pPr>
        <w:spacing w:line="240" w:lineRule="auto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2015 Firefighters’ Scheme Complaints and Dispute process:</w:t>
      </w:r>
    </w:p>
    <w:p w14:paraId="1160E9EF" w14:textId="77777777" w:rsidR="0015618B" w:rsidRPr="00F2323F" w:rsidRDefault="007C0311" w:rsidP="00B50FCE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hyperlink r:id="rId13" w:history="1">
        <w:r w:rsidR="0045071A" w:rsidRPr="00F2323F">
          <w:rPr>
            <w:rStyle w:val="Hyperlink"/>
            <w:rFonts w:ascii="Arial" w:hAnsi="Arial" w:cs="Arial"/>
          </w:rPr>
          <w:t>http://www.wypf.org.uk/Member/Fire/IDRP/InternalDisputeResolutionPro.aspx</w:t>
        </w:r>
      </w:hyperlink>
      <w:r w:rsidR="00112C67" w:rsidRPr="00F2323F">
        <w:rPr>
          <w:rFonts w:ascii="Arial" w:hAnsi="Arial" w:cs="Arial"/>
        </w:rPr>
        <w:t xml:space="preserve"> </w:t>
      </w:r>
    </w:p>
    <w:p w14:paraId="2B8F9C05" w14:textId="2932C3AF" w:rsidR="0015618B" w:rsidRPr="00F2323F" w:rsidRDefault="00536008" w:rsidP="00B50FCE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Annual Report</w:t>
      </w:r>
    </w:p>
    <w:p w14:paraId="3C0A3C04" w14:textId="77777777" w:rsidR="00E73BB4" w:rsidRPr="00F2323F" w:rsidRDefault="00E73BB4" w:rsidP="00E73BB4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 w:rsidRPr="00F2323F">
        <w:rPr>
          <w:rFonts w:ascii="Arial" w:hAnsi="Arial" w:cs="Arial"/>
        </w:rPr>
        <w:t>Pensions Risk Register</w:t>
      </w:r>
    </w:p>
    <w:p w14:paraId="6FAD34A6" w14:textId="62908CE7" w:rsidR="00E73BB4" w:rsidRPr="00F2323F" w:rsidRDefault="0047528B" w:rsidP="00E73BB4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Slide deck from Local Pension Board Wrap-</w:t>
      </w:r>
      <w:r w:rsidR="0053259E">
        <w:rPr>
          <w:rFonts w:ascii="Arial" w:hAnsi="Arial" w:cs="Arial"/>
        </w:rPr>
        <w:t>Up Training</w:t>
      </w:r>
    </w:p>
    <w:p w14:paraId="7BEA1F7F" w14:textId="2B8E2422" w:rsidR="00A22367" w:rsidRPr="00F2323F" w:rsidRDefault="00A22367" w:rsidP="00BB18CC">
      <w:pPr>
        <w:pStyle w:val="NoSpacing"/>
        <w:spacing w:after="200"/>
        <w:ind w:left="720" w:hanging="720"/>
        <w:jc w:val="both"/>
        <w:rPr>
          <w:rFonts w:ascii="Arial" w:hAnsi="Arial" w:cs="Arial"/>
        </w:rPr>
      </w:pPr>
    </w:p>
    <w:sectPr w:rsidR="00A22367" w:rsidRPr="00F2323F" w:rsidSect="00437EF6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57DA"/>
    <w:multiLevelType w:val="hybridMultilevel"/>
    <w:tmpl w:val="197E69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4A4B"/>
    <w:multiLevelType w:val="hybridMultilevel"/>
    <w:tmpl w:val="E25CA9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CB0493"/>
    <w:multiLevelType w:val="multilevel"/>
    <w:tmpl w:val="551A1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6865AC1"/>
    <w:multiLevelType w:val="hybridMultilevel"/>
    <w:tmpl w:val="FC1C4546"/>
    <w:lvl w:ilvl="0" w:tplc="60749FF4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F1C5B"/>
    <w:multiLevelType w:val="hybridMultilevel"/>
    <w:tmpl w:val="140A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2901"/>
    <w:multiLevelType w:val="multilevel"/>
    <w:tmpl w:val="998E8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261AC"/>
    <w:multiLevelType w:val="hybridMultilevel"/>
    <w:tmpl w:val="8242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65B4"/>
    <w:multiLevelType w:val="hybridMultilevel"/>
    <w:tmpl w:val="B110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F6E"/>
    <w:multiLevelType w:val="hybridMultilevel"/>
    <w:tmpl w:val="F84C2306"/>
    <w:lvl w:ilvl="0" w:tplc="4D8C6C56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457EFA"/>
    <w:multiLevelType w:val="multilevel"/>
    <w:tmpl w:val="262E2F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B712BB6"/>
    <w:multiLevelType w:val="hybridMultilevel"/>
    <w:tmpl w:val="EB085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B06"/>
    <w:multiLevelType w:val="hybridMultilevel"/>
    <w:tmpl w:val="822692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D0068"/>
    <w:multiLevelType w:val="multilevel"/>
    <w:tmpl w:val="AC8E3ABC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43F015EA"/>
    <w:multiLevelType w:val="multilevel"/>
    <w:tmpl w:val="1AFC843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15" w15:restartNumberingAfterBreak="0">
    <w:nsid w:val="44970927"/>
    <w:multiLevelType w:val="hybridMultilevel"/>
    <w:tmpl w:val="990CD804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90D3C7C"/>
    <w:multiLevelType w:val="multilevel"/>
    <w:tmpl w:val="2528B2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961A57"/>
    <w:multiLevelType w:val="hybridMultilevel"/>
    <w:tmpl w:val="65A6E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5E7CDB"/>
    <w:multiLevelType w:val="hybridMultilevel"/>
    <w:tmpl w:val="4CFA9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4719E2"/>
    <w:multiLevelType w:val="hybridMultilevel"/>
    <w:tmpl w:val="6BBA23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E5503E"/>
    <w:multiLevelType w:val="hybridMultilevel"/>
    <w:tmpl w:val="1E226516"/>
    <w:lvl w:ilvl="0" w:tplc="339C4526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2B2BCC"/>
    <w:multiLevelType w:val="hybridMultilevel"/>
    <w:tmpl w:val="C166F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B67D06"/>
    <w:multiLevelType w:val="hybridMultilevel"/>
    <w:tmpl w:val="625028AC"/>
    <w:lvl w:ilvl="0" w:tplc="CC28A004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D2E9D"/>
    <w:multiLevelType w:val="hybridMultilevel"/>
    <w:tmpl w:val="08621B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8F05D4"/>
    <w:multiLevelType w:val="multilevel"/>
    <w:tmpl w:val="95A676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6142709D"/>
    <w:multiLevelType w:val="hybridMultilevel"/>
    <w:tmpl w:val="A00C6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F53C41"/>
    <w:multiLevelType w:val="multilevel"/>
    <w:tmpl w:val="905CC33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7" w15:restartNumberingAfterBreak="0">
    <w:nsid w:val="6BE860AE"/>
    <w:multiLevelType w:val="hybridMultilevel"/>
    <w:tmpl w:val="808E62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9A1C18"/>
    <w:multiLevelType w:val="hybridMultilevel"/>
    <w:tmpl w:val="D7CE82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6F5F4D"/>
    <w:multiLevelType w:val="hybridMultilevel"/>
    <w:tmpl w:val="829076BA"/>
    <w:lvl w:ilvl="0" w:tplc="55AACD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C7650"/>
    <w:multiLevelType w:val="hybridMultilevel"/>
    <w:tmpl w:val="54C8F1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5D21A3"/>
    <w:multiLevelType w:val="hybridMultilevel"/>
    <w:tmpl w:val="BCB2AF8E"/>
    <w:lvl w:ilvl="0" w:tplc="E4BC7E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EF05AF"/>
    <w:multiLevelType w:val="hybridMultilevel"/>
    <w:tmpl w:val="640A51B8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73281E0A"/>
    <w:multiLevelType w:val="hybridMultilevel"/>
    <w:tmpl w:val="516AC204"/>
    <w:lvl w:ilvl="0" w:tplc="712AE9D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B664DF"/>
    <w:multiLevelType w:val="multilevel"/>
    <w:tmpl w:val="F63017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A491679"/>
    <w:multiLevelType w:val="multilevel"/>
    <w:tmpl w:val="8B26B8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B9670F1"/>
    <w:multiLevelType w:val="hybridMultilevel"/>
    <w:tmpl w:val="152A2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4239AA"/>
    <w:multiLevelType w:val="hybridMultilevel"/>
    <w:tmpl w:val="FF94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21"/>
  </w:num>
  <w:num w:numId="5">
    <w:abstractNumId w:val="29"/>
  </w:num>
  <w:num w:numId="6">
    <w:abstractNumId w:val="9"/>
  </w:num>
  <w:num w:numId="7">
    <w:abstractNumId w:val="7"/>
  </w:num>
  <w:num w:numId="8">
    <w:abstractNumId w:val="11"/>
  </w:num>
  <w:num w:numId="9">
    <w:abstractNumId w:val="31"/>
  </w:num>
  <w:num w:numId="10">
    <w:abstractNumId w:val="23"/>
  </w:num>
  <w:num w:numId="11">
    <w:abstractNumId w:val="27"/>
  </w:num>
  <w:num w:numId="12">
    <w:abstractNumId w:val="3"/>
  </w:num>
  <w:num w:numId="13">
    <w:abstractNumId w:val="13"/>
  </w:num>
  <w:num w:numId="14">
    <w:abstractNumId w:val="2"/>
  </w:num>
  <w:num w:numId="15">
    <w:abstractNumId w:val="37"/>
  </w:num>
  <w:num w:numId="16">
    <w:abstractNumId w:val="25"/>
  </w:num>
  <w:num w:numId="17">
    <w:abstractNumId w:val="17"/>
  </w:num>
  <w:num w:numId="18">
    <w:abstractNumId w:val="14"/>
  </w:num>
  <w:num w:numId="19">
    <w:abstractNumId w:val="19"/>
  </w:num>
  <w:num w:numId="20">
    <w:abstractNumId w:val="32"/>
  </w:num>
  <w:num w:numId="21">
    <w:abstractNumId w:val="0"/>
  </w:num>
  <w:num w:numId="22">
    <w:abstractNumId w:val="30"/>
  </w:num>
  <w:num w:numId="23">
    <w:abstractNumId w:val="28"/>
  </w:num>
  <w:num w:numId="24">
    <w:abstractNumId w:val="15"/>
  </w:num>
  <w:num w:numId="25">
    <w:abstractNumId w:val="36"/>
  </w:num>
  <w:num w:numId="26">
    <w:abstractNumId w:val="12"/>
  </w:num>
  <w:num w:numId="27">
    <w:abstractNumId w:val="24"/>
  </w:num>
  <w:num w:numId="28">
    <w:abstractNumId w:val="10"/>
  </w:num>
  <w:num w:numId="29">
    <w:abstractNumId w:val="6"/>
  </w:num>
  <w:num w:numId="30">
    <w:abstractNumId w:val="34"/>
  </w:num>
  <w:num w:numId="31">
    <w:abstractNumId w:val="22"/>
  </w:num>
  <w:num w:numId="32">
    <w:abstractNumId w:val="20"/>
  </w:num>
  <w:num w:numId="33">
    <w:abstractNumId w:val="4"/>
  </w:num>
  <w:num w:numId="34">
    <w:abstractNumId w:val="1"/>
  </w:num>
  <w:num w:numId="35">
    <w:abstractNumId w:val="8"/>
  </w:num>
  <w:num w:numId="36">
    <w:abstractNumId w:val="35"/>
  </w:num>
  <w:num w:numId="37">
    <w:abstractNumId w:val="16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20"/>
    <w:rsid w:val="00000399"/>
    <w:rsid w:val="000028EB"/>
    <w:rsid w:val="00005EDF"/>
    <w:rsid w:val="00006D97"/>
    <w:rsid w:val="00012DD0"/>
    <w:rsid w:val="000140F2"/>
    <w:rsid w:val="000169E5"/>
    <w:rsid w:val="00017168"/>
    <w:rsid w:val="00017F5A"/>
    <w:rsid w:val="000217A2"/>
    <w:rsid w:val="00022BB4"/>
    <w:rsid w:val="000247AE"/>
    <w:rsid w:val="000250A7"/>
    <w:rsid w:val="00027A32"/>
    <w:rsid w:val="00030087"/>
    <w:rsid w:val="000307F1"/>
    <w:rsid w:val="00032623"/>
    <w:rsid w:val="00033F08"/>
    <w:rsid w:val="00041358"/>
    <w:rsid w:val="00042427"/>
    <w:rsid w:val="00047E32"/>
    <w:rsid w:val="00053D3B"/>
    <w:rsid w:val="00056B13"/>
    <w:rsid w:val="00064B44"/>
    <w:rsid w:val="00066ADF"/>
    <w:rsid w:val="0006762C"/>
    <w:rsid w:val="0007345D"/>
    <w:rsid w:val="00074DDB"/>
    <w:rsid w:val="00075D3E"/>
    <w:rsid w:val="000763F3"/>
    <w:rsid w:val="00081EE5"/>
    <w:rsid w:val="000843C6"/>
    <w:rsid w:val="00086BA2"/>
    <w:rsid w:val="00090C11"/>
    <w:rsid w:val="00091832"/>
    <w:rsid w:val="00091E9F"/>
    <w:rsid w:val="00091F30"/>
    <w:rsid w:val="00092E22"/>
    <w:rsid w:val="0009350E"/>
    <w:rsid w:val="00097F9A"/>
    <w:rsid w:val="000A062E"/>
    <w:rsid w:val="000A06D6"/>
    <w:rsid w:val="000A2FD2"/>
    <w:rsid w:val="000A73CE"/>
    <w:rsid w:val="000B0301"/>
    <w:rsid w:val="000B2298"/>
    <w:rsid w:val="000B2353"/>
    <w:rsid w:val="000B4A7F"/>
    <w:rsid w:val="000B7A29"/>
    <w:rsid w:val="000B7A50"/>
    <w:rsid w:val="000B7BC1"/>
    <w:rsid w:val="000C2A6E"/>
    <w:rsid w:val="000C38C0"/>
    <w:rsid w:val="000C445D"/>
    <w:rsid w:val="000C4988"/>
    <w:rsid w:val="000C594D"/>
    <w:rsid w:val="000D0D8C"/>
    <w:rsid w:val="000D3DA2"/>
    <w:rsid w:val="000D4846"/>
    <w:rsid w:val="000D5E08"/>
    <w:rsid w:val="000D7352"/>
    <w:rsid w:val="000D7567"/>
    <w:rsid w:val="000E0738"/>
    <w:rsid w:val="000E259B"/>
    <w:rsid w:val="000E2CCD"/>
    <w:rsid w:val="000E77A6"/>
    <w:rsid w:val="000F0868"/>
    <w:rsid w:val="000F08FB"/>
    <w:rsid w:val="000F1534"/>
    <w:rsid w:val="000F2AC6"/>
    <w:rsid w:val="000F2BA0"/>
    <w:rsid w:val="000F5283"/>
    <w:rsid w:val="000F5A7F"/>
    <w:rsid w:val="000F6EA7"/>
    <w:rsid w:val="000F723A"/>
    <w:rsid w:val="001002E8"/>
    <w:rsid w:val="00101BCD"/>
    <w:rsid w:val="001047F5"/>
    <w:rsid w:val="0010574C"/>
    <w:rsid w:val="00106818"/>
    <w:rsid w:val="00107511"/>
    <w:rsid w:val="00112C67"/>
    <w:rsid w:val="00113F3C"/>
    <w:rsid w:val="001157DF"/>
    <w:rsid w:val="00120475"/>
    <w:rsid w:val="001207CF"/>
    <w:rsid w:val="00121BFE"/>
    <w:rsid w:val="00122B45"/>
    <w:rsid w:val="00123822"/>
    <w:rsid w:val="00125252"/>
    <w:rsid w:val="0012686C"/>
    <w:rsid w:val="00127847"/>
    <w:rsid w:val="00133E5F"/>
    <w:rsid w:val="001347F1"/>
    <w:rsid w:val="00134925"/>
    <w:rsid w:val="00135ED1"/>
    <w:rsid w:val="00136030"/>
    <w:rsid w:val="00136317"/>
    <w:rsid w:val="00136567"/>
    <w:rsid w:val="00145254"/>
    <w:rsid w:val="001454F1"/>
    <w:rsid w:val="00145DFD"/>
    <w:rsid w:val="0015088C"/>
    <w:rsid w:val="00150AD9"/>
    <w:rsid w:val="00153606"/>
    <w:rsid w:val="001548F5"/>
    <w:rsid w:val="00154D63"/>
    <w:rsid w:val="00155F71"/>
    <w:rsid w:val="0015618B"/>
    <w:rsid w:val="00156A68"/>
    <w:rsid w:val="00170C2F"/>
    <w:rsid w:val="00171301"/>
    <w:rsid w:val="0017594E"/>
    <w:rsid w:val="0017694F"/>
    <w:rsid w:val="00176A9E"/>
    <w:rsid w:val="001827A5"/>
    <w:rsid w:val="00185F77"/>
    <w:rsid w:val="001876BE"/>
    <w:rsid w:val="00187D85"/>
    <w:rsid w:val="00190C4B"/>
    <w:rsid w:val="00192E9C"/>
    <w:rsid w:val="00193995"/>
    <w:rsid w:val="00194378"/>
    <w:rsid w:val="00195EC4"/>
    <w:rsid w:val="00196AF6"/>
    <w:rsid w:val="00196E71"/>
    <w:rsid w:val="00197143"/>
    <w:rsid w:val="0019724C"/>
    <w:rsid w:val="00197D25"/>
    <w:rsid w:val="001A07C1"/>
    <w:rsid w:val="001A3807"/>
    <w:rsid w:val="001A6B5B"/>
    <w:rsid w:val="001A6E55"/>
    <w:rsid w:val="001A71A9"/>
    <w:rsid w:val="001B021D"/>
    <w:rsid w:val="001B0C40"/>
    <w:rsid w:val="001B1E19"/>
    <w:rsid w:val="001B69B0"/>
    <w:rsid w:val="001B7CE7"/>
    <w:rsid w:val="001C0757"/>
    <w:rsid w:val="001C19AD"/>
    <w:rsid w:val="001C4DA0"/>
    <w:rsid w:val="001C51AC"/>
    <w:rsid w:val="001C65D3"/>
    <w:rsid w:val="001C692E"/>
    <w:rsid w:val="001D25BC"/>
    <w:rsid w:val="001D528C"/>
    <w:rsid w:val="001D7629"/>
    <w:rsid w:val="001D76D5"/>
    <w:rsid w:val="001E210D"/>
    <w:rsid w:val="001E402E"/>
    <w:rsid w:val="001E4CA4"/>
    <w:rsid w:val="001F20B3"/>
    <w:rsid w:val="001F2EE5"/>
    <w:rsid w:val="001F2EFC"/>
    <w:rsid w:val="001F58E5"/>
    <w:rsid w:val="001F5F71"/>
    <w:rsid w:val="001F64EB"/>
    <w:rsid w:val="001F6A11"/>
    <w:rsid w:val="001F74C6"/>
    <w:rsid w:val="00200B46"/>
    <w:rsid w:val="00203962"/>
    <w:rsid w:val="002059F9"/>
    <w:rsid w:val="00206C2F"/>
    <w:rsid w:val="0020710E"/>
    <w:rsid w:val="0021002E"/>
    <w:rsid w:val="00211C3D"/>
    <w:rsid w:val="00214CFB"/>
    <w:rsid w:val="00216191"/>
    <w:rsid w:val="00216D03"/>
    <w:rsid w:val="002204EB"/>
    <w:rsid w:val="002209F5"/>
    <w:rsid w:val="00220CDE"/>
    <w:rsid w:val="00224C54"/>
    <w:rsid w:val="00224F8F"/>
    <w:rsid w:val="0022619C"/>
    <w:rsid w:val="002266ED"/>
    <w:rsid w:val="00226CE3"/>
    <w:rsid w:val="0022720C"/>
    <w:rsid w:val="00227EE1"/>
    <w:rsid w:val="00230563"/>
    <w:rsid w:val="00233742"/>
    <w:rsid w:val="00242303"/>
    <w:rsid w:val="00245ADD"/>
    <w:rsid w:val="00246E58"/>
    <w:rsid w:val="00247452"/>
    <w:rsid w:val="00252DF7"/>
    <w:rsid w:val="00262088"/>
    <w:rsid w:val="00266895"/>
    <w:rsid w:val="00267957"/>
    <w:rsid w:val="0027120B"/>
    <w:rsid w:val="00276402"/>
    <w:rsid w:val="00276686"/>
    <w:rsid w:val="00277CA8"/>
    <w:rsid w:val="00280E99"/>
    <w:rsid w:val="00282490"/>
    <w:rsid w:val="00282CF7"/>
    <w:rsid w:val="00284978"/>
    <w:rsid w:val="002876B8"/>
    <w:rsid w:val="00291EB3"/>
    <w:rsid w:val="002921C7"/>
    <w:rsid w:val="00294B6C"/>
    <w:rsid w:val="00297407"/>
    <w:rsid w:val="002975C1"/>
    <w:rsid w:val="002A065C"/>
    <w:rsid w:val="002A09C1"/>
    <w:rsid w:val="002A12F8"/>
    <w:rsid w:val="002A188F"/>
    <w:rsid w:val="002A5784"/>
    <w:rsid w:val="002B23F1"/>
    <w:rsid w:val="002B2EB5"/>
    <w:rsid w:val="002B74EE"/>
    <w:rsid w:val="002C2DC9"/>
    <w:rsid w:val="002C4F99"/>
    <w:rsid w:val="002C5D95"/>
    <w:rsid w:val="002C6E91"/>
    <w:rsid w:val="002D6CE4"/>
    <w:rsid w:val="002D754E"/>
    <w:rsid w:val="002D7575"/>
    <w:rsid w:val="002D7C48"/>
    <w:rsid w:val="002E2CD5"/>
    <w:rsid w:val="002E398F"/>
    <w:rsid w:val="002E3FB8"/>
    <w:rsid w:val="002E70BB"/>
    <w:rsid w:val="002F22B0"/>
    <w:rsid w:val="002F2558"/>
    <w:rsid w:val="002F2E08"/>
    <w:rsid w:val="002F4702"/>
    <w:rsid w:val="002F5C09"/>
    <w:rsid w:val="00300063"/>
    <w:rsid w:val="00305148"/>
    <w:rsid w:val="00311646"/>
    <w:rsid w:val="00317580"/>
    <w:rsid w:val="00317EC5"/>
    <w:rsid w:val="0032016E"/>
    <w:rsid w:val="003211B5"/>
    <w:rsid w:val="003217C3"/>
    <w:rsid w:val="00322538"/>
    <w:rsid w:val="003243E1"/>
    <w:rsid w:val="003265ED"/>
    <w:rsid w:val="0032731B"/>
    <w:rsid w:val="00334053"/>
    <w:rsid w:val="003372E2"/>
    <w:rsid w:val="00342528"/>
    <w:rsid w:val="00342B2D"/>
    <w:rsid w:val="00343993"/>
    <w:rsid w:val="00344CBF"/>
    <w:rsid w:val="003452B6"/>
    <w:rsid w:val="003529B4"/>
    <w:rsid w:val="00356CED"/>
    <w:rsid w:val="0036053C"/>
    <w:rsid w:val="00360E14"/>
    <w:rsid w:val="00363E6B"/>
    <w:rsid w:val="003653FD"/>
    <w:rsid w:val="00365783"/>
    <w:rsid w:val="00365F64"/>
    <w:rsid w:val="003664B6"/>
    <w:rsid w:val="00372168"/>
    <w:rsid w:val="00373DAB"/>
    <w:rsid w:val="00374050"/>
    <w:rsid w:val="003745E4"/>
    <w:rsid w:val="003758CB"/>
    <w:rsid w:val="00376939"/>
    <w:rsid w:val="00376C0A"/>
    <w:rsid w:val="003770C7"/>
    <w:rsid w:val="0037797C"/>
    <w:rsid w:val="00381A0D"/>
    <w:rsid w:val="00383690"/>
    <w:rsid w:val="00383AB4"/>
    <w:rsid w:val="00385913"/>
    <w:rsid w:val="00385CAF"/>
    <w:rsid w:val="0038671E"/>
    <w:rsid w:val="00392270"/>
    <w:rsid w:val="0039282F"/>
    <w:rsid w:val="00393516"/>
    <w:rsid w:val="00394295"/>
    <w:rsid w:val="00394D66"/>
    <w:rsid w:val="00395B51"/>
    <w:rsid w:val="00396423"/>
    <w:rsid w:val="003A0ECC"/>
    <w:rsid w:val="003A72F3"/>
    <w:rsid w:val="003B1DF8"/>
    <w:rsid w:val="003B2F27"/>
    <w:rsid w:val="003B32C4"/>
    <w:rsid w:val="003B5C15"/>
    <w:rsid w:val="003B71C1"/>
    <w:rsid w:val="003C141E"/>
    <w:rsid w:val="003C1FFA"/>
    <w:rsid w:val="003C32B2"/>
    <w:rsid w:val="003C3FC3"/>
    <w:rsid w:val="003C4C0F"/>
    <w:rsid w:val="003C5B6C"/>
    <w:rsid w:val="003D1EAE"/>
    <w:rsid w:val="003D2B73"/>
    <w:rsid w:val="003D42A8"/>
    <w:rsid w:val="003D43FA"/>
    <w:rsid w:val="003D4E28"/>
    <w:rsid w:val="003E0939"/>
    <w:rsid w:val="003E3628"/>
    <w:rsid w:val="003E38DF"/>
    <w:rsid w:val="003E3EF8"/>
    <w:rsid w:val="003F0F38"/>
    <w:rsid w:val="003F30EB"/>
    <w:rsid w:val="003F34CA"/>
    <w:rsid w:val="003F4543"/>
    <w:rsid w:val="003F4962"/>
    <w:rsid w:val="003F5E60"/>
    <w:rsid w:val="003F6AF1"/>
    <w:rsid w:val="00403338"/>
    <w:rsid w:val="00404F35"/>
    <w:rsid w:val="00407207"/>
    <w:rsid w:val="00410350"/>
    <w:rsid w:val="004119DE"/>
    <w:rsid w:val="00413828"/>
    <w:rsid w:val="00413C04"/>
    <w:rsid w:val="0041587A"/>
    <w:rsid w:val="00415EC6"/>
    <w:rsid w:val="00416CFB"/>
    <w:rsid w:val="004238AD"/>
    <w:rsid w:val="004246B8"/>
    <w:rsid w:val="00426AE0"/>
    <w:rsid w:val="00426FE0"/>
    <w:rsid w:val="0042772E"/>
    <w:rsid w:val="00430701"/>
    <w:rsid w:val="004332F7"/>
    <w:rsid w:val="0043408D"/>
    <w:rsid w:val="00434250"/>
    <w:rsid w:val="00437EF6"/>
    <w:rsid w:val="00442AC4"/>
    <w:rsid w:val="004468FC"/>
    <w:rsid w:val="004471EB"/>
    <w:rsid w:val="0045053D"/>
    <w:rsid w:val="0045071A"/>
    <w:rsid w:val="00451635"/>
    <w:rsid w:val="00451840"/>
    <w:rsid w:val="00451FAF"/>
    <w:rsid w:val="00453A38"/>
    <w:rsid w:val="00453B15"/>
    <w:rsid w:val="00454657"/>
    <w:rsid w:val="00455FC7"/>
    <w:rsid w:val="00463961"/>
    <w:rsid w:val="00464319"/>
    <w:rsid w:val="00464AFD"/>
    <w:rsid w:val="004657CD"/>
    <w:rsid w:val="004665ED"/>
    <w:rsid w:val="00466DF8"/>
    <w:rsid w:val="00471569"/>
    <w:rsid w:val="00471F7F"/>
    <w:rsid w:val="004727A4"/>
    <w:rsid w:val="004736EE"/>
    <w:rsid w:val="00474CF0"/>
    <w:rsid w:val="0047528B"/>
    <w:rsid w:val="00485001"/>
    <w:rsid w:val="0048522A"/>
    <w:rsid w:val="004853A4"/>
    <w:rsid w:val="00485B43"/>
    <w:rsid w:val="00485FCC"/>
    <w:rsid w:val="00490DC1"/>
    <w:rsid w:val="004919B4"/>
    <w:rsid w:val="004930C3"/>
    <w:rsid w:val="004958AC"/>
    <w:rsid w:val="00496743"/>
    <w:rsid w:val="0049767C"/>
    <w:rsid w:val="004A2198"/>
    <w:rsid w:val="004A48AD"/>
    <w:rsid w:val="004B21C9"/>
    <w:rsid w:val="004B28EF"/>
    <w:rsid w:val="004B3352"/>
    <w:rsid w:val="004B395C"/>
    <w:rsid w:val="004B4567"/>
    <w:rsid w:val="004B4769"/>
    <w:rsid w:val="004B4A36"/>
    <w:rsid w:val="004B517F"/>
    <w:rsid w:val="004B60AC"/>
    <w:rsid w:val="004B6214"/>
    <w:rsid w:val="004B6253"/>
    <w:rsid w:val="004C009F"/>
    <w:rsid w:val="004C12E8"/>
    <w:rsid w:val="004C7704"/>
    <w:rsid w:val="004D036F"/>
    <w:rsid w:val="004D1C92"/>
    <w:rsid w:val="004D210D"/>
    <w:rsid w:val="004D7EA6"/>
    <w:rsid w:val="004E1EAA"/>
    <w:rsid w:val="004E2315"/>
    <w:rsid w:val="004E3161"/>
    <w:rsid w:val="004E43B2"/>
    <w:rsid w:val="004E46D3"/>
    <w:rsid w:val="004E4D62"/>
    <w:rsid w:val="004E4DF6"/>
    <w:rsid w:val="004E5808"/>
    <w:rsid w:val="004E6388"/>
    <w:rsid w:val="004E7CFC"/>
    <w:rsid w:val="004F45BA"/>
    <w:rsid w:val="004F525E"/>
    <w:rsid w:val="004F75EF"/>
    <w:rsid w:val="00501E4D"/>
    <w:rsid w:val="0050522B"/>
    <w:rsid w:val="00506C0A"/>
    <w:rsid w:val="00511E57"/>
    <w:rsid w:val="00515B8B"/>
    <w:rsid w:val="00521909"/>
    <w:rsid w:val="0052426A"/>
    <w:rsid w:val="00525003"/>
    <w:rsid w:val="005301A0"/>
    <w:rsid w:val="00530CAB"/>
    <w:rsid w:val="005313BC"/>
    <w:rsid w:val="00532050"/>
    <w:rsid w:val="0053259E"/>
    <w:rsid w:val="00534C1C"/>
    <w:rsid w:val="00536008"/>
    <w:rsid w:val="005404C2"/>
    <w:rsid w:val="00540D71"/>
    <w:rsid w:val="0055005A"/>
    <w:rsid w:val="00550134"/>
    <w:rsid w:val="005519F5"/>
    <w:rsid w:val="0055200F"/>
    <w:rsid w:val="005539C9"/>
    <w:rsid w:val="005568D9"/>
    <w:rsid w:val="00557349"/>
    <w:rsid w:val="005577FA"/>
    <w:rsid w:val="00557D31"/>
    <w:rsid w:val="0056019D"/>
    <w:rsid w:val="0056102F"/>
    <w:rsid w:val="00565A53"/>
    <w:rsid w:val="00572314"/>
    <w:rsid w:val="00572342"/>
    <w:rsid w:val="00576D8A"/>
    <w:rsid w:val="005773DF"/>
    <w:rsid w:val="0058044B"/>
    <w:rsid w:val="005804F1"/>
    <w:rsid w:val="0058090D"/>
    <w:rsid w:val="0058164F"/>
    <w:rsid w:val="00581FA8"/>
    <w:rsid w:val="00584859"/>
    <w:rsid w:val="00587D39"/>
    <w:rsid w:val="005945A4"/>
    <w:rsid w:val="00594743"/>
    <w:rsid w:val="00595044"/>
    <w:rsid w:val="00595385"/>
    <w:rsid w:val="005958B5"/>
    <w:rsid w:val="005964BE"/>
    <w:rsid w:val="0059714E"/>
    <w:rsid w:val="00597A3E"/>
    <w:rsid w:val="005A12C3"/>
    <w:rsid w:val="005A31F9"/>
    <w:rsid w:val="005A5122"/>
    <w:rsid w:val="005A5662"/>
    <w:rsid w:val="005A7F20"/>
    <w:rsid w:val="005B00D6"/>
    <w:rsid w:val="005B0F79"/>
    <w:rsid w:val="005B193E"/>
    <w:rsid w:val="005B1F1B"/>
    <w:rsid w:val="005B5793"/>
    <w:rsid w:val="005B6E1B"/>
    <w:rsid w:val="005C0ABE"/>
    <w:rsid w:val="005C1DD1"/>
    <w:rsid w:val="005C3A74"/>
    <w:rsid w:val="005C3D3C"/>
    <w:rsid w:val="005C4B68"/>
    <w:rsid w:val="005C4B95"/>
    <w:rsid w:val="005C5836"/>
    <w:rsid w:val="005D0A78"/>
    <w:rsid w:val="005D309A"/>
    <w:rsid w:val="005D3738"/>
    <w:rsid w:val="005D754C"/>
    <w:rsid w:val="005D79DB"/>
    <w:rsid w:val="005E1813"/>
    <w:rsid w:val="005E1F6C"/>
    <w:rsid w:val="005E2002"/>
    <w:rsid w:val="005E5DCF"/>
    <w:rsid w:val="005E62C7"/>
    <w:rsid w:val="005E6301"/>
    <w:rsid w:val="005E642A"/>
    <w:rsid w:val="005E682F"/>
    <w:rsid w:val="005E7C60"/>
    <w:rsid w:val="005F0A48"/>
    <w:rsid w:val="005F1284"/>
    <w:rsid w:val="005F1CD2"/>
    <w:rsid w:val="005F26DB"/>
    <w:rsid w:val="005F7880"/>
    <w:rsid w:val="0060093C"/>
    <w:rsid w:val="006014E3"/>
    <w:rsid w:val="0060355F"/>
    <w:rsid w:val="006064F5"/>
    <w:rsid w:val="00607C06"/>
    <w:rsid w:val="00610C32"/>
    <w:rsid w:val="00611DD0"/>
    <w:rsid w:val="006135C4"/>
    <w:rsid w:val="00615119"/>
    <w:rsid w:val="006152A4"/>
    <w:rsid w:val="006200D6"/>
    <w:rsid w:val="00621CDC"/>
    <w:rsid w:val="006247D1"/>
    <w:rsid w:val="00625A34"/>
    <w:rsid w:val="00625AD3"/>
    <w:rsid w:val="00625CDA"/>
    <w:rsid w:val="00627851"/>
    <w:rsid w:val="00627A61"/>
    <w:rsid w:val="006317CD"/>
    <w:rsid w:val="00632F2C"/>
    <w:rsid w:val="006366F5"/>
    <w:rsid w:val="006369A2"/>
    <w:rsid w:val="0064157F"/>
    <w:rsid w:val="00644EBD"/>
    <w:rsid w:val="0065194E"/>
    <w:rsid w:val="006520D7"/>
    <w:rsid w:val="00653B17"/>
    <w:rsid w:val="0065786B"/>
    <w:rsid w:val="00660E0E"/>
    <w:rsid w:val="00660F78"/>
    <w:rsid w:val="006616CC"/>
    <w:rsid w:val="006645B7"/>
    <w:rsid w:val="00665B53"/>
    <w:rsid w:val="006671A1"/>
    <w:rsid w:val="00667435"/>
    <w:rsid w:val="006713DF"/>
    <w:rsid w:val="00672495"/>
    <w:rsid w:val="006726DD"/>
    <w:rsid w:val="00673CA5"/>
    <w:rsid w:val="00677157"/>
    <w:rsid w:val="006772F8"/>
    <w:rsid w:val="00684030"/>
    <w:rsid w:val="0068642D"/>
    <w:rsid w:val="006904BD"/>
    <w:rsid w:val="006951C5"/>
    <w:rsid w:val="00696E21"/>
    <w:rsid w:val="0069723E"/>
    <w:rsid w:val="006A0973"/>
    <w:rsid w:val="006A1351"/>
    <w:rsid w:val="006A28DE"/>
    <w:rsid w:val="006A2A67"/>
    <w:rsid w:val="006A56D7"/>
    <w:rsid w:val="006A64C9"/>
    <w:rsid w:val="006B20DD"/>
    <w:rsid w:val="006B2B14"/>
    <w:rsid w:val="006B3CC3"/>
    <w:rsid w:val="006B4E79"/>
    <w:rsid w:val="006B594F"/>
    <w:rsid w:val="006C036E"/>
    <w:rsid w:val="006C1A3B"/>
    <w:rsid w:val="006C3FE2"/>
    <w:rsid w:val="006C5357"/>
    <w:rsid w:val="006C6692"/>
    <w:rsid w:val="006C6DBD"/>
    <w:rsid w:val="006C7466"/>
    <w:rsid w:val="006C7AA1"/>
    <w:rsid w:val="006D5263"/>
    <w:rsid w:val="006D607D"/>
    <w:rsid w:val="006D793F"/>
    <w:rsid w:val="006E0511"/>
    <w:rsid w:val="006E11A1"/>
    <w:rsid w:val="006E13DD"/>
    <w:rsid w:val="006E2B76"/>
    <w:rsid w:val="006E2C40"/>
    <w:rsid w:val="006E4579"/>
    <w:rsid w:val="006E46DA"/>
    <w:rsid w:val="006E5FF9"/>
    <w:rsid w:val="006E60E5"/>
    <w:rsid w:val="006E62EA"/>
    <w:rsid w:val="006F04A4"/>
    <w:rsid w:val="006F1C33"/>
    <w:rsid w:val="0070024E"/>
    <w:rsid w:val="007024DA"/>
    <w:rsid w:val="007029AC"/>
    <w:rsid w:val="0070531B"/>
    <w:rsid w:val="00706220"/>
    <w:rsid w:val="00706B3A"/>
    <w:rsid w:val="00707296"/>
    <w:rsid w:val="007118E5"/>
    <w:rsid w:val="00712859"/>
    <w:rsid w:val="007129E3"/>
    <w:rsid w:val="00712D92"/>
    <w:rsid w:val="00713239"/>
    <w:rsid w:val="00713EEC"/>
    <w:rsid w:val="00714805"/>
    <w:rsid w:val="00715B13"/>
    <w:rsid w:val="007161AA"/>
    <w:rsid w:val="0071656D"/>
    <w:rsid w:val="007166A7"/>
    <w:rsid w:val="00716EF2"/>
    <w:rsid w:val="0072027C"/>
    <w:rsid w:val="00720C27"/>
    <w:rsid w:val="00722254"/>
    <w:rsid w:val="00722319"/>
    <w:rsid w:val="0072249B"/>
    <w:rsid w:val="00725E52"/>
    <w:rsid w:val="007319EF"/>
    <w:rsid w:val="0073382A"/>
    <w:rsid w:val="00733BFB"/>
    <w:rsid w:val="00734925"/>
    <w:rsid w:val="00734A4F"/>
    <w:rsid w:val="00736733"/>
    <w:rsid w:val="00737327"/>
    <w:rsid w:val="007402CA"/>
    <w:rsid w:val="00742534"/>
    <w:rsid w:val="0074283D"/>
    <w:rsid w:val="0074334F"/>
    <w:rsid w:val="0074443C"/>
    <w:rsid w:val="0075309F"/>
    <w:rsid w:val="007538DF"/>
    <w:rsid w:val="00753966"/>
    <w:rsid w:val="00756133"/>
    <w:rsid w:val="0075687D"/>
    <w:rsid w:val="00761B21"/>
    <w:rsid w:val="00763C48"/>
    <w:rsid w:val="00765351"/>
    <w:rsid w:val="00765706"/>
    <w:rsid w:val="007657DF"/>
    <w:rsid w:val="00767367"/>
    <w:rsid w:val="007675F0"/>
    <w:rsid w:val="007700D0"/>
    <w:rsid w:val="00770482"/>
    <w:rsid w:val="0077790D"/>
    <w:rsid w:val="007779BB"/>
    <w:rsid w:val="007800AB"/>
    <w:rsid w:val="00780248"/>
    <w:rsid w:val="007822ED"/>
    <w:rsid w:val="00784E0F"/>
    <w:rsid w:val="00786E6D"/>
    <w:rsid w:val="0078744C"/>
    <w:rsid w:val="00787779"/>
    <w:rsid w:val="007914C4"/>
    <w:rsid w:val="0079549F"/>
    <w:rsid w:val="00795DDF"/>
    <w:rsid w:val="007A1812"/>
    <w:rsid w:val="007A44DB"/>
    <w:rsid w:val="007A6023"/>
    <w:rsid w:val="007A719F"/>
    <w:rsid w:val="007B0AEE"/>
    <w:rsid w:val="007B0BD6"/>
    <w:rsid w:val="007B126B"/>
    <w:rsid w:val="007B153B"/>
    <w:rsid w:val="007B18CD"/>
    <w:rsid w:val="007B1BA8"/>
    <w:rsid w:val="007B2E8D"/>
    <w:rsid w:val="007B3946"/>
    <w:rsid w:val="007B4502"/>
    <w:rsid w:val="007B47FF"/>
    <w:rsid w:val="007C01A5"/>
    <w:rsid w:val="007C0311"/>
    <w:rsid w:val="007C1AEF"/>
    <w:rsid w:val="007C1DA3"/>
    <w:rsid w:val="007C63A8"/>
    <w:rsid w:val="007C76CB"/>
    <w:rsid w:val="007D1265"/>
    <w:rsid w:val="007D3013"/>
    <w:rsid w:val="007D3A67"/>
    <w:rsid w:val="007D4878"/>
    <w:rsid w:val="007D783A"/>
    <w:rsid w:val="007E0854"/>
    <w:rsid w:val="007E0B2F"/>
    <w:rsid w:val="007E0B86"/>
    <w:rsid w:val="007E1BC6"/>
    <w:rsid w:val="007E21D4"/>
    <w:rsid w:val="007E22B5"/>
    <w:rsid w:val="007E44B7"/>
    <w:rsid w:val="007E765A"/>
    <w:rsid w:val="007E778D"/>
    <w:rsid w:val="007E78F8"/>
    <w:rsid w:val="007F082B"/>
    <w:rsid w:val="007F0FEE"/>
    <w:rsid w:val="007F29F2"/>
    <w:rsid w:val="007F680B"/>
    <w:rsid w:val="007F6DAF"/>
    <w:rsid w:val="007F7C88"/>
    <w:rsid w:val="008006C3"/>
    <w:rsid w:val="0080280C"/>
    <w:rsid w:val="00803859"/>
    <w:rsid w:val="00803B3C"/>
    <w:rsid w:val="008072F9"/>
    <w:rsid w:val="00814C15"/>
    <w:rsid w:val="00815391"/>
    <w:rsid w:val="00821A34"/>
    <w:rsid w:val="00821FC4"/>
    <w:rsid w:val="008227BB"/>
    <w:rsid w:val="00823FC4"/>
    <w:rsid w:val="00824013"/>
    <w:rsid w:val="00825D3F"/>
    <w:rsid w:val="00826383"/>
    <w:rsid w:val="008273A2"/>
    <w:rsid w:val="00830767"/>
    <w:rsid w:val="00833738"/>
    <w:rsid w:val="00833B3B"/>
    <w:rsid w:val="00833D24"/>
    <w:rsid w:val="008344A8"/>
    <w:rsid w:val="00835ABA"/>
    <w:rsid w:val="00837478"/>
    <w:rsid w:val="00840198"/>
    <w:rsid w:val="0084025B"/>
    <w:rsid w:val="00841A25"/>
    <w:rsid w:val="00842F16"/>
    <w:rsid w:val="00844A43"/>
    <w:rsid w:val="00846724"/>
    <w:rsid w:val="008516FB"/>
    <w:rsid w:val="00852B57"/>
    <w:rsid w:val="00856A2D"/>
    <w:rsid w:val="00861468"/>
    <w:rsid w:val="00863D46"/>
    <w:rsid w:val="00864719"/>
    <w:rsid w:val="00864A02"/>
    <w:rsid w:val="0086669C"/>
    <w:rsid w:val="00866DD6"/>
    <w:rsid w:val="00871DD0"/>
    <w:rsid w:val="0087201A"/>
    <w:rsid w:val="00872972"/>
    <w:rsid w:val="00873264"/>
    <w:rsid w:val="008745C4"/>
    <w:rsid w:val="00876F57"/>
    <w:rsid w:val="00884C12"/>
    <w:rsid w:val="008859FC"/>
    <w:rsid w:val="00890A56"/>
    <w:rsid w:val="00893C1D"/>
    <w:rsid w:val="008A1331"/>
    <w:rsid w:val="008A3471"/>
    <w:rsid w:val="008A3DBD"/>
    <w:rsid w:val="008A7342"/>
    <w:rsid w:val="008A784A"/>
    <w:rsid w:val="008B452C"/>
    <w:rsid w:val="008B7BFE"/>
    <w:rsid w:val="008B7D46"/>
    <w:rsid w:val="008C10E8"/>
    <w:rsid w:val="008C1F79"/>
    <w:rsid w:val="008C66FE"/>
    <w:rsid w:val="008D18D6"/>
    <w:rsid w:val="008D1C39"/>
    <w:rsid w:val="008D2236"/>
    <w:rsid w:val="008D31DE"/>
    <w:rsid w:val="008D3467"/>
    <w:rsid w:val="008D35A3"/>
    <w:rsid w:val="008D4352"/>
    <w:rsid w:val="008D5020"/>
    <w:rsid w:val="008D6101"/>
    <w:rsid w:val="008D6E57"/>
    <w:rsid w:val="008D7ACC"/>
    <w:rsid w:val="008D7B82"/>
    <w:rsid w:val="008E039F"/>
    <w:rsid w:val="008E0DAC"/>
    <w:rsid w:val="008E558E"/>
    <w:rsid w:val="008E58FE"/>
    <w:rsid w:val="008E73F5"/>
    <w:rsid w:val="008F17BD"/>
    <w:rsid w:val="008F237F"/>
    <w:rsid w:val="008F2BE3"/>
    <w:rsid w:val="008F4AE9"/>
    <w:rsid w:val="008F5113"/>
    <w:rsid w:val="008F7101"/>
    <w:rsid w:val="008F7E9E"/>
    <w:rsid w:val="00900D23"/>
    <w:rsid w:val="00902492"/>
    <w:rsid w:val="00903F7A"/>
    <w:rsid w:val="00904330"/>
    <w:rsid w:val="00913651"/>
    <w:rsid w:val="0091559E"/>
    <w:rsid w:val="00915C8C"/>
    <w:rsid w:val="00915F18"/>
    <w:rsid w:val="00916D8E"/>
    <w:rsid w:val="009251E5"/>
    <w:rsid w:val="00925BE4"/>
    <w:rsid w:val="009315BF"/>
    <w:rsid w:val="009338D5"/>
    <w:rsid w:val="00935929"/>
    <w:rsid w:val="009365F2"/>
    <w:rsid w:val="00936854"/>
    <w:rsid w:val="00936A95"/>
    <w:rsid w:val="0094020D"/>
    <w:rsid w:val="00940603"/>
    <w:rsid w:val="009409FF"/>
    <w:rsid w:val="00940F85"/>
    <w:rsid w:val="00941851"/>
    <w:rsid w:val="009423A5"/>
    <w:rsid w:val="009449FA"/>
    <w:rsid w:val="009455B5"/>
    <w:rsid w:val="0094593E"/>
    <w:rsid w:val="00945EBD"/>
    <w:rsid w:val="00946008"/>
    <w:rsid w:val="00947E1A"/>
    <w:rsid w:val="00950574"/>
    <w:rsid w:val="0095381F"/>
    <w:rsid w:val="00954CB0"/>
    <w:rsid w:val="00955235"/>
    <w:rsid w:val="009565FD"/>
    <w:rsid w:val="00956813"/>
    <w:rsid w:val="009615D2"/>
    <w:rsid w:val="009640C6"/>
    <w:rsid w:val="00964366"/>
    <w:rsid w:val="00964DF6"/>
    <w:rsid w:val="0096565F"/>
    <w:rsid w:val="00966867"/>
    <w:rsid w:val="00966CAC"/>
    <w:rsid w:val="00967631"/>
    <w:rsid w:val="00973391"/>
    <w:rsid w:val="00973C48"/>
    <w:rsid w:val="00974BC8"/>
    <w:rsid w:val="009757D4"/>
    <w:rsid w:val="00977916"/>
    <w:rsid w:val="009814F8"/>
    <w:rsid w:val="00983C13"/>
    <w:rsid w:val="00984B46"/>
    <w:rsid w:val="009865FC"/>
    <w:rsid w:val="00992065"/>
    <w:rsid w:val="00995171"/>
    <w:rsid w:val="00995380"/>
    <w:rsid w:val="00996324"/>
    <w:rsid w:val="009A013A"/>
    <w:rsid w:val="009A2CC3"/>
    <w:rsid w:val="009A30DB"/>
    <w:rsid w:val="009A3771"/>
    <w:rsid w:val="009A4321"/>
    <w:rsid w:val="009A4B9F"/>
    <w:rsid w:val="009A6373"/>
    <w:rsid w:val="009B0CA4"/>
    <w:rsid w:val="009B27BE"/>
    <w:rsid w:val="009B2913"/>
    <w:rsid w:val="009B2E1B"/>
    <w:rsid w:val="009B395B"/>
    <w:rsid w:val="009B5525"/>
    <w:rsid w:val="009B7F21"/>
    <w:rsid w:val="009C07FE"/>
    <w:rsid w:val="009C1A11"/>
    <w:rsid w:val="009C2B3C"/>
    <w:rsid w:val="009C4ED0"/>
    <w:rsid w:val="009D3D39"/>
    <w:rsid w:val="009D6015"/>
    <w:rsid w:val="009D63EA"/>
    <w:rsid w:val="009E2B9E"/>
    <w:rsid w:val="009E2C19"/>
    <w:rsid w:val="009E3F3D"/>
    <w:rsid w:val="009E402F"/>
    <w:rsid w:val="009E5FB5"/>
    <w:rsid w:val="009E75C7"/>
    <w:rsid w:val="009F0B03"/>
    <w:rsid w:val="009F2F8C"/>
    <w:rsid w:val="009F4739"/>
    <w:rsid w:val="009F74CE"/>
    <w:rsid w:val="00A033EB"/>
    <w:rsid w:val="00A04EBC"/>
    <w:rsid w:val="00A10073"/>
    <w:rsid w:val="00A10111"/>
    <w:rsid w:val="00A11117"/>
    <w:rsid w:val="00A13632"/>
    <w:rsid w:val="00A1572B"/>
    <w:rsid w:val="00A157CD"/>
    <w:rsid w:val="00A160F3"/>
    <w:rsid w:val="00A22367"/>
    <w:rsid w:val="00A22870"/>
    <w:rsid w:val="00A23039"/>
    <w:rsid w:val="00A2446C"/>
    <w:rsid w:val="00A250A3"/>
    <w:rsid w:val="00A253DF"/>
    <w:rsid w:val="00A25510"/>
    <w:rsid w:val="00A25C5C"/>
    <w:rsid w:val="00A25CCD"/>
    <w:rsid w:val="00A30D3F"/>
    <w:rsid w:val="00A30D6C"/>
    <w:rsid w:val="00A3466B"/>
    <w:rsid w:val="00A36ED3"/>
    <w:rsid w:val="00A37E07"/>
    <w:rsid w:val="00A4005B"/>
    <w:rsid w:val="00A40A9B"/>
    <w:rsid w:val="00A4242C"/>
    <w:rsid w:val="00A442F7"/>
    <w:rsid w:val="00A44F7B"/>
    <w:rsid w:val="00A452A8"/>
    <w:rsid w:val="00A45F87"/>
    <w:rsid w:val="00A46A84"/>
    <w:rsid w:val="00A50207"/>
    <w:rsid w:val="00A50AC6"/>
    <w:rsid w:val="00A51572"/>
    <w:rsid w:val="00A5598A"/>
    <w:rsid w:val="00A61D81"/>
    <w:rsid w:val="00A62646"/>
    <w:rsid w:val="00A65F87"/>
    <w:rsid w:val="00A6795C"/>
    <w:rsid w:val="00A71936"/>
    <w:rsid w:val="00A736C1"/>
    <w:rsid w:val="00A746B5"/>
    <w:rsid w:val="00A75180"/>
    <w:rsid w:val="00A81810"/>
    <w:rsid w:val="00A82519"/>
    <w:rsid w:val="00A828B3"/>
    <w:rsid w:val="00A86DCF"/>
    <w:rsid w:val="00A90B70"/>
    <w:rsid w:val="00A919B8"/>
    <w:rsid w:val="00A92129"/>
    <w:rsid w:val="00A9231A"/>
    <w:rsid w:val="00A9399E"/>
    <w:rsid w:val="00A947EB"/>
    <w:rsid w:val="00A94E8F"/>
    <w:rsid w:val="00AA143A"/>
    <w:rsid w:val="00AA2356"/>
    <w:rsid w:val="00AA28BA"/>
    <w:rsid w:val="00AA2F54"/>
    <w:rsid w:val="00AA46DC"/>
    <w:rsid w:val="00AA54FE"/>
    <w:rsid w:val="00AA683F"/>
    <w:rsid w:val="00AA6B5C"/>
    <w:rsid w:val="00AB0F28"/>
    <w:rsid w:val="00AB1FE0"/>
    <w:rsid w:val="00AB25FB"/>
    <w:rsid w:val="00AB4461"/>
    <w:rsid w:val="00AB4C06"/>
    <w:rsid w:val="00AB5191"/>
    <w:rsid w:val="00AB55FA"/>
    <w:rsid w:val="00AB5643"/>
    <w:rsid w:val="00AB691A"/>
    <w:rsid w:val="00AB7AAB"/>
    <w:rsid w:val="00AC040A"/>
    <w:rsid w:val="00AC143D"/>
    <w:rsid w:val="00AC1487"/>
    <w:rsid w:val="00AC1DAA"/>
    <w:rsid w:val="00AC5C50"/>
    <w:rsid w:val="00AC668D"/>
    <w:rsid w:val="00AC6F22"/>
    <w:rsid w:val="00AC7626"/>
    <w:rsid w:val="00AD228D"/>
    <w:rsid w:val="00AD267F"/>
    <w:rsid w:val="00AE383A"/>
    <w:rsid w:val="00AE486D"/>
    <w:rsid w:val="00AE71C8"/>
    <w:rsid w:val="00AF01C4"/>
    <w:rsid w:val="00AF1D8C"/>
    <w:rsid w:val="00AF2772"/>
    <w:rsid w:val="00AF3013"/>
    <w:rsid w:val="00AF3E73"/>
    <w:rsid w:val="00AF558D"/>
    <w:rsid w:val="00AF5DD3"/>
    <w:rsid w:val="00B01F03"/>
    <w:rsid w:val="00B02916"/>
    <w:rsid w:val="00B05879"/>
    <w:rsid w:val="00B05C71"/>
    <w:rsid w:val="00B12FC4"/>
    <w:rsid w:val="00B1691E"/>
    <w:rsid w:val="00B21778"/>
    <w:rsid w:val="00B22768"/>
    <w:rsid w:val="00B24737"/>
    <w:rsid w:val="00B24830"/>
    <w:rsid w:val="00B2487D"/>
    <w:rsid w:val="00B26B37"/>
    <w:rsid w:val="00B26FA1"/>
    <w:rsid w:val="00B277F6"/>
    <w:rsid w:val="00B337BE"/>
    <w:rsid w:val="00B338AB"/>
    <w:rsid w:val="00B349EC"/>
    <w:rsid w:val="00B34D2A"/>
    <w:rsid w:val="00B36DD9"/>
    <w:rsid w:val="00B41F41"/>
    <w:rsid w:val="00B43896"/>
    <w:rsid w:val="00B448B0"/>
    <w:rsid w:val="00B46D19"/>
    <w:rsid w:val="00B47841"/>
    <w:rsid w:val="00B47D61"/>
    <w:rsid w:val="00B50FCE"/>
    <w:rsid w:val="00B52D14"/>
    <w:rsid w:val="00B56FFD"/>
    <w:rsid w:val="00B6037A"/>
    <w:rsid w:val="00B61F9E"/>
    <w:rsid w:val="00B62A4F"/>
    <w:rsid w:val="00B632A5"/>
    <w:rsid w:val="00B63E92"/>
    <w:rsid w:val="00B66886"/>
    <w:rsid w:val="00B669B1"/>
    <w:rsid w:val="00B67A1C"/>
    <w:rsid w:val="00B70A63"/>
    <w:rsid w:val="00B73DC2"/>
    <w:rsid w:val="00B75238"/>
    <w:rsid w:val="00B77706"/>
    <w:rsid w:val="00B802F9"/>
    <w:rsid w:val="00B81319"/>
    <w:rsid w:val="00B8161A"/>
    <w:rsid w:val="00B824FB"/>
    <w:rsid w:val="00B8287B"/>
    <w:rsid w:val="00B82D8D"/>
    <w:rsid w:val="00B83275"/>
    <w:rsid w:val="00B8584D"/>
    <w:rsid w:val="00B85A86"/>
    <w:rsid w:val="00B91729"/>
    <w:rsid w:val="00B9407B"/>
    <w:rsid w:val="00B950A9"/>
    <w:rsid w:val="00B9764C"/>
    <w:rsid w:val="00BA01E1"/>
    <w:rsid w:val="00BA0310"/>
    <w:rsid w:val="00BA060D"/>
    <w:rsid w:val="00BA485B"/>
    <w:rsid w:val="00BA49F3"/>
    <w:rsid w:val="00BA4AAB"/>
    <w:rsid w:val="00BA5CC3"/>
    <w:rsid w:val="00BB0EFF"/>
    <w:rsid w:val="00BB18CC"/>
    <w:rsid w:val="00BB1A7A"/>
    <w:rsid w:val="00BB3417"/>
    <w:rsid w:val="00BB3DE3"/>
    <w:rsid w:val="00BB5755"/>
    <w:rsid w:val="00BB6061"/>
    <w:rsid w:val="00BB7578"/>
    <w:rsid w:val="00BB792B"/>
    <w:rsid w:val="00BC08BE"/>
    <w:rsid w:val="00BC0ADB"/>
    <w:rsid w:val="00BC488A"/>
    <w:rsid w:val="00BC58EF"/>
    <w:rsid w:val="00BC79CB"/>
    <w:rsid w:val="00BC7F89"/>
    <w:rsid w:val="00BD23AB"/>
    <w:rsid w:val="00BD50E0"/>
    <w:rsid w:val="00BD5AC4"/>
    <w:rsid w:val="00BD7C33"/>
    <w:rsid w:val="00BE08ED"/>
    <w:rsid w:val="00BE0D48"/>
    <w:rsid w:val="00BE4394"/>
    <w:rsid w:val="00BE4C2A"/>
    <w:rsid w:val="00BE4EA3"/>
    <w:rsid w:val="00BE5F37"/>
    <w:rsid w:val="00BF0867"/>
    <w:rsid w:val="00BF1AAF"/>
    <w:rsid w:val="00BF253D"/>
    <w:rsid w:val="00BF657A"/>
    <w:rsid w:val="00BF75A8"/>
    <w:rsid w:val="00C01343"/>
    <w:rsid w:val="00C019CD"/>
    <w:rsid w:val="00C024E9"/>
    <w:rsid w:val="00C02B48"/>
    <w:rsid w:val="00C05692"/>
    <w:rsid w:val="00C05862"/>
    <w:rsid w:val="00C13B99"/>
    <w:rsid w:val="00C13E3F"/>
    <w:rsid w:val="00C20A4C"/>
    <w:rsid w:val="00C23D43"/>
    <w:rsid w:val="00C248BD"/>
    <w:rsid w:val="00C30387"/>
    <w:rsid w:val="00C34152"/>
    <w:rsid w:val="00C352C0"/>
    <w:rsid w:val="00C40AD9"/>
    <w:rsid w:val="00C41C16"/>
    <w:rsid w:val="00C41E7C"/>
    <w:rsid w:val="00C44B9E"/>
    <w:rsid w:val="00C472A8"/>
    <w:rsid w:val="00C47D3C"/>
    <w:rsid w:val="00C47D6F"/>
    <w:rsid w:val="00C53048"/>
    <w:rsid w:val="00C54286"/>
    <w:rsid w:val="00C60A73"/>
    <w:rsid w:val="00C62140"/>
    <w:rsid w:val="00C62846"/>
    <w:rsid w:val="00C63D6E"/>
    <w:rsid w:val="00C6580D"/>
    <w:rsid w:val="00C65E1F"/>
    <w:rsid w:val="00C67101"/>
    <w:rsid w:val="00C70032"/>
    <w:rsid w:val="00C719AC"/>
    <w:rsid w:val="00C71BB9"/>
    <w:rsid w:val="00C71FD5"/>
    <w:rsid w:val="00C741AE"/>
    <w:rsid w:val="00C741B9"/>
    <w:rsid w:val="00C76739"/>
    <w:rsid w:val="00C779F2"/>
    <w:rsid w:val="00C834A1"/>
    <w:rsid w:val="00C83E0E"/>
    <w:rsid w:val="00C85EBC"/>
    <w:rsid w:val="00C875CB"/>
    <w:rsid w:val="00C87FD7"/>
    <w:rsid w:val="00C87FF9"/>
    <w:rsid w:val="00C9023F"/>
    <w:rsid w:val="00C928DC"/>
    <w:rsid w:val="00C92DB0"/>
    <w:rsid w:val="00C9362C"/>
    <w:rsid w:val="00C93758"/>
    <w:rsid w:val="00C93B9A"/>
    <w:rsid w:val="00C943D2"/>
    <w:rsid w:val="00C96A75"/>
    <w:rsid w:val="00CA399B"/>
    <w:rsid w:val="00CA4037"/>
    <w:rsid w:val="00CA475C"/>
    <w:rsid w:val="00CA4DF6"/>
    <w:rsid w:val="00CA58F4"/>
    <w:rsid w:val="00CA5969"/>
    <w:rsid w:val="00CA59F9"/>
    <w:rsid w:val="00CA7C25"/>
    <w:rsid w:val="00CA7D3B"/>
    <w:rsid w:val="00CB6973"/>
    <w:rsid w:val="00CB7AA9"/>
    <w:rsid w:val="00CC2448"/>
    <w:rsid w:val="00CC3FF0"/>
    <w:rsid w:val="00CC4308"/>
    <w:rsid w:val="00CC4374"/>
    <w:rsid w:val="00CC4C31"/>
    <w:rsid w:val="00CC528B"/>
    <w:rsid w:val="00CC5F8B"/>
    <w:rsid w:val="00CC6E9B"/>
    <w:rsid w:val="00CD15C8"/>
    <w:rsid w:val="00CD3640"/>
    <w:rsid w:val="00CD6D0B"/>
    <w:rsid w:val="00CD730B"/>
    <w:rsid w:val="00CD7840"/>
    <w:rsid w:val="00CE03DE"/>
    <w:rsid w:val="00CE0BF0"/>
    <w:rsid w:val="00CE0CC8"/>
    <w:rsid w:val="00CE1225"/>
    <w:rsid w:val="00CE1485"/>
    <w:rsid w:val="00CE2FD6"/>
    <w:rsid w:val="00CE561D"/>
    <w:rsid w:val="00CE79E3"/>
    <w:rsid w:val="00CF0035"/>
    <w:rsid w:val="00CF00E5"/>
    <w:rsid w:val="00CF0373"/>
    <w:rsid w:val="00CF1EFE"/>
    <w:rsid w:val="00CF33AE"/>
    <w:rsid w:val="00CF5B57"/>
    <w:rsid w:val="00D138ED"/>
    <w:rsid w:val="00D14C62"/>
    <w:rsid w:val="00D1613F"/>
    <w:rsid w:val="00D163F6"/>
    <w:rsid w:val="00D2018D"/>
    <w:rsid w:val="00D20B2A"/>
    <w:rsid w:val="00D21379"/>
    <w:rsid w:val="00D2168E"/>
    <w:rsid w:val="00D24EA2"/>
    <w:rsid w:val="00D318BA"/>
    <w:rsid w:val="00D31E15"/>
    <w:rsid w:val="00D3301B"/>
    <w:rsid w:val="00D3334F"/>
    <w:rsid w:val="00D34373"/>
    <w:rsid w:val="00D35599"/>
    <w:rsid w:val="00D35A44"/>
    <w:rsid w:val="00D37F36"/>
    <w:rsid w:val="00D41A57"/>
    <w:rsid w:val="00D4209C"/>
    <w:rsid w:val="00D44953"/>
    <w:rsid w:val="00D45F15"/>
    <w:rsid w:val="00D469A0"/>
    <w:rsid w:val="00D47016"/>
    <w:rsid w:val="00D473EE"/>
    <w:rsid w:val="00D47D96"/>
    <w:rsid w:val="00D521AB"/>
    <w:rsid w:val="00D536E6"/>
    <w:rsid w:val="00D54011"/>
    <w:rsid w:val="00D540A5"/>
    <w:rsid w:val="00D55E69"/>
    <w:rsid w:val="00D57561"/>
    <w:rsid w:val="00D57A63"/>
    <w:rsid w:val="00D604A6"/>
    <w:rsid w:val="00D625EB"/>
    <w:rsid w:val="00D64375"/>
    <w:rsid w:val="00D668CE"/>
    <w:rsid w:val="00D71A14"/>
    <w:rsid w:val="00D71A60"/>
    <w:rsid w:val="00D723E4"/>
    <w:rsid w:val="00D74A5D"/>
    <w:rsid w:val="00D758F3"/>
    <w:rsid w:val="00D76652"/>
    <w:rsid w:val="00D81459"/>
    <w:rsid w:val="00D81572"/>
    <w:rsid w:val="00D8343E"/>
    <w:rsid w:val="00D83FB8"/>
    <w:rsid w:val="00D857E0"/>
    <w:rsid w:val="00D85D69"/>
    <w:rsid w:val="00D865FB"/>
    <w:rsid w:val="00D877A4"/>
    <w:rsid w:val="00D9100A"/>
    <w:rsid w:val="00D910C9"/>
    <w:rsid w:val="00D91BC1"/>
    <w:rsid w:val="00D91CAA"/>
    <w:rsid w:val="00D94B4E"/>
    <w:rsid w:val="00D96CEE"/>
    <w:rsid w:val="00D978EC"/>
    <w:rsid w:val="00D97C88"/>
    <w:rsid w:val="00DA3F6D"/>
    <w:rsid w:val="00DA55EF"/>
    <w:rsid w:val="00DA7E7B"/>
    <w:rsid w:val="00DB11CC"/>
    <w:rsid w:val="00DB2EA9"/>
    <w:rsid w:val="00DB3E8C"/>
    <w:rsid w:val="00DB3F2E"/>
    <w:rsid w:val="00DB51A3"/>
    <w:rsid w:val="00DB6B97"/>
    <w:rsid w:val="00DB72CE"/>
    <w:rsid w:val="00DB75E4"/>
    <w:rsid w:val="00DB7ECD"/>
    <w:rsid w:val="00DC097E"/>
    <w:rsid w:val="00DC2320"/>
    <w:rsid w:val="00DC34A0"/>
    <w:rsid w:val="00DC7E78"/>
    <w:rsid w:val="00DD04FE"/>
    <w:rsid w:val="00DD25AF"/>
    <w:rsid w:val="00DD3A93"/>
    <w:rsid w:val="00DE0C04"/>
    <w:rsid w:val="00DE1532"/>
    <w:rsid w:val="00DE3548"/>
    <w:rsid w:val="00DE3BAC"/>
    <w:rsid w:val="00DE6E69"/>
    <w:rsid w:val="00DF0781"/>
    <w:rsid w:val="00DF13C6"/>
    <w:rsid w:val="00DF35DC"/>
    <w:rsid w:val="00DF4794"/>
    <w:rsid w:val="00DF56AF"/>
    <w:rsid w:val="00E01391"/>
    <w:rsid w:val="00E03811"/>
    <w:rsid w:val="00E04734"/>
    <w:rsid w:val="00E04B40"/>
    <w:rsid w:val="00E0543D"/>
    <w:rsid w:val="00E057A3"/>
    <w:rsid w:val="00E0720B"/>
    <w:rsid w:val="00E074AD"/>
    <w:rsid w:val="00E078C1"/>
    <w:rsid w:val="00E10204"/>
    <w:rsid w:val="00E13CD2"/>
    <w:rsid w:val="00E14E24"/>
    <w:rsid w:val="00E154CF"/>
    <w:rsid w:val="00E16B8D"/>
    <w:rsid w:val="00E16DCB"/>
    <w:rsid w:val="00E17061"/>
    <w:rsid w:val="00E23944"/>
    <w:rsid w:val="00E25600"/>
    <w:rsid w:val="00E25AE4"/>
    <w:rsid w:val="00E310EE"/>
    <w:rsid w:val="00E314CE"/>
    <w:rsid w:val="00E31E52"/>
    <w:rsid w:val="00E32D27"/>
    <w:rsid w:val="00E32E21"/>
    <w:rsid w:val="00E35068"/>
    <w:rsid w:val="00E350C1"/>
    <w:rsid w:val="00E40C0D"/>
    <w:rsid w:val="00E454D3"/>
    <w:rsid w:val="00E45A32"/>
    <w:rsid w:val="00E45B73"/>
    <w:rsid w:val="00E461E4"/>
    <w:rsid w:val="00E52FC9"/>
    <w:rsid w:val="00E569D9"/>
    <w:rsid w:val="00E60268"/>
    <w:rsid w:val="00E60919"/>
    <w:rsid w:val="00E60CD4"/>
    <w:rsid w:val="00E60D5C"/>
    <w:rsid w:val="00E615C5"/>
    <w:rsid w:val="00E61D3D"/>
    <w:rsid w:val="00E63707"/>
    <w:rsid w:val="00E63B66"/>
    <w:rsid w:val="00E7095F"/>
    <w:rsid w:val="00E7106F"/>
    <w:rsid w:val="00E7310D"/>
    <w:rsid w:val="00E73BB4"/>
    <w:rsid w:val="00E749C3"/>
    <w:rsid w:val="00E75BA2"/>
    <w:rsid w:val="00E76F8F"/>
    <w:rsid w:val="00E80F96"/>
    <w:rsid w:val="00E81D0C"/>
    <w:rsid w:val="00E82AA4"/>
    <w:rsid w:val="00E8456B"/>
    <w:rsid w:val="00E84C3F"/>
    <w:rsid w:val="00E850B6"/>
    <w:rsid w:val="00E8604E"/>
    <w:rsid w:val="00E8625E"/>
    <w:rsid w:val="00E8684D"/>
    <w:rsid w:val="00E86E14"/>
    <w:rsid w:val="00E877BD"/>
    <w:rsid w:val="00E915F4"/>
    <w:rsid w:val="00E92506"/>
    <w:rsid w:val="00E942C8"/>
    <w:rsid w:val="00E945C0"/>
    <w:rsid w:val="00E958B8"/>
    <w:rsid w:val="00E95A39"/>
    <w:rsid w:val="00E96059"/>
    <w:rsid w:val="00E9748C"/>
    <w:rsid w:val="00EA0BF7"/>
    <w:rsid w:val="00EA25AA"/>
    <w:rsid w:val="00EA25DB"/>
    <w:rsid w:val="00EA6834"/>
    <w:rsid w:val="00EB0501"/>
    <w:rsid w:val="00EB0B14"/>
    <w:rsid w:val="00EB1B5B"/>
    <w:rsid w:val="00EB2AE8"/>
    <w:rsid w:val="00EC05BE"/>
    <w:rsid w:val="00EC23E2"/>
    <w:rsid w:val="00EC3200"/>
    <w:rsid w:val="00EC3495"/>
    <w:rsid w:val="00EC3D79"/>
    <w:rsid w:val="00EC3FCA"/>
    <w:rsid w:val="00EC40E0"/>
    <w:rsid w:val="00EC506A"/>
    <w:rsid w:val="00EC509C"/>
    <w:rsid w:val="00EC5CB5"/>
    <w:rsid w:val="00ED3C44"/>
    <w:rsid w:val="00ED419B"/>
    <w:rsid w:val="00ED63FD"/>
    <w:rsid w:val="00EE217E"/>
    <w:rsid w:val="00EE32E5"/>
    <w:rsid w:val="00EE48A6"/>
    <w:rsid w:val="00EE4FD8"/>
    <w:rsid w:val="00EE729C"/>
    <w:rsid w:val="00EF0FC4"/>
    <w:rsid w:val="00EF2B1B"/>
    <w:rsid w:val="00EF5678"/>
    <w:rsid w:val="00EF72C0"/>
    <w:rsid w:val="00F0030F"/>
    <w:rsid w:val="00F02D76"/>
    <w:rsid w:val="00F03C4B"/>
    <w:rsid w:val="00F070CF"/>
    <w:rsid w:val="00F0783B"/>
    <w:rsid w:val="00F106A0"/>
    <w:rsid w:val="00F11AFC"/>
    <w:rsid w:val="00F13678"/>
    <w:rsid w:val="00F14DA0"/>
    <w:rsid w:val="00F1578F"/>
    <w:rsid w:val="00F2323F"/>
    <w:rsid w:val="00F23BDD"/>
    <w:rsid w:val="00F24979"/>
    <w:rsid w:val="00F25CDB"/>
    <w:rsid w:val="00F25F38"/>
    <w:rsid w:val="00F27D30"/>
    <w:rsid w:val="00F30EF8"/>
    <w:rsid w:val="00F33EE2"/>
    <w:rsid w:val="00F3405C"/>
    <w:rsid w:val="00F3408B"/>
    <w:rsid w:val="00F37613"/>
    <w:rsid w:val="00F377E9"/>
    <w:rsid w:val="00F407AF"/>
    <w:rsid w:val="00F426EC"/>
    <w:rsid w:val="00F42E8C"/>
    <w:rsid w:val="00F43D8F"/>
    <w:rsid w:val="00F457EA"/>
    <w:rsid w:val="00F4745E"/>
    <w:rsid w:val="00F52E02"/>
    <w:rsid w:val="00F540B3"/>
    <w:rsid w:val="00F541ED"/>
    <w:rsid w:val="00F5461E"/>
    <w:rsid w:val="00F546A9"/>
    <w:rsid w:val="00F63099"/>
    <w:rsid w:val="00F66489"/>
    <w:rsid w:val="00F67010"/>
    <w:rsid w:val="00F708F0"/>
    <w:rsid w:val="00F7222D"/>
    <w:rsid w:val="00F72ED6"/>
    <w:rsid w:val="00F7353A"/>
    <w:rsid w:val="00F73E74"/>
    <w:rsid w:val="00F74440"/>
    <w:rsid w:val="00F757FB"/>
    <w:rsid w:val="00F812FE"/>
    <w:rsid w:val="00F82086"/>
    <w:rsid w:val="00F82176"/>
    <w:rsid w:val="00F846C2"/>
    <w:rsid w:val="00F84B55"/>
    <w:rsid w:val="00F85C20"/>
    <w:rsid w:val="00F87AB3"/>
    <w:rsid w:val="00F9254A"/>
    <w:rsid w:val="00F937F9"/>
    <w:rsid w:val="00FA2EF7"/>
    <w:rsid w:val="00FA3F38"/>
    <w:rsid w:val="00FA4F68"/>
    <w:rsid w:val="00FA558D"/>
    <w:rsid w:val="00FA57F9"/>
    <w:rsid w:val="00FA5D80"/>
    <w:rsid w:val="00FB2043"/>
    <w:rsid w:val="00FB277A"/>
    <w:rsid w:val="00FB32AB"/>
    <w:rsid w:val="00FB371E"/>
    <w:rsid w:val="00FB384C"/>
    <w:rsid w:val="00FC041C"/>
    <w:rsid w:val="00FC1C59"/>
    <w:rsid w:val="00FC2EB4"/>
    <w:rsid w:val="00FC3E29"/>
    <w:rsid w:val="00FC4903"/>
    <w:rsid w:val="00FC4A49"/>
    <w:rsid w:val="00FC5285"/>
    <w:rsid w:val="00FD0F4D"/>
    <w:rsid w:val="00FD5890"/>
    <w:rsid w:val="00FD650B"/>
    <w:rsid w:val="00FE22DC"/>
    <w:rsid w:val="00FE5C43"/>
    <w:rsid w:val="00FE70D7"/>
    <w:rsid w:val="00FE7B9A"/>
    <w:rsid w:val="00FF1D48"/>
    <w:rsid w:val="00FF3761"/>
    <w:rsid w:val="00FF3925"/>
    <w:rsid w:val="00FF3B08"/>
    <w:rsid w:val="00FF50C9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8085"/>
  <w15:docId w15:val="{3B5CDC77-07BC-48AF-B2AF-C13F7A6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D23"/>
    <w:pPr>
      <w:spacing w:after="0" w:line="240" w:lineRule="auto"/>
    </w:pPr>
  </w:style>
  <w:style w:type="table" w:styleId="TableGrid">
    <w:name w:val="Table Grid"/>
    <w:basedOn w:val="TableNormal"/>
    <w:uiPriority w:val="59"/>
    <w:rsid w:val="00DC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6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5CD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6771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715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67715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77157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A4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71A1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AD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F9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024D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4DA"/>
    <w:rPr>
      <w:rFonts w:ascii="Calibri" w:hAnsi="Calibri"/>
      <w:szCs w:val="21"/>
    </w:rPr>
  </w:style>
  <w:style w:type="character" w:customStyle="1" w:styleId="fontstyle41">
    <w:name w:val="fontstyle41"/>
    <w:basedOn w:val="DefaultParagraphFont"/>
    <w:rsid w:val="006951C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53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4474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ypf.org.uk/Member/Fire/IDRP/InternalDisputeResolutionPro.aspx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wypf.org.uk/Member/Fire/IDRP/InternalDisputeResolutionPro.aspx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End_x0020_Date xmlns="8a4e297b-ba98-4686-a1a5-d42bb460104b">2029-09-19T23:00:00+00:00</Retention_x0020_End_x0020_Date>
    <DocumentCategory xmlns="e1b25a2c-ccc4-4715-9774-503bb9887330" xsi:nil="true"/>
    <Year xmlns="f26ff68d-0168-4809-9fbc-63e19a5a703d" xsi:nil="true"/>
    <Month xmlns="f26ff68d-0168-4809-9fbc-63e19a5a70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F8500B8A1102348A2553EED50E999D300C293643F6797E74D801B6F489B57FF4D" ma:contentTypeVersion="15" ma:contentTypeDescription="" ma:contentTypeScope="" ma:versionID="b2dbe160e42e90be3e561ba76c84aa8a">
  <xsd:schema xmlns:xsd="http://www.w3.org/2001/XMLSchema" xmlns:xs="http://www.w3.org/2001/XMLSchema" xmlns:p="http://schemas.microsoft.com/office/2006/metadata/properties" xmlns:ns2="8a4e297b-ba98-4686-a1a5-d42bb460104b" xmlns:ns3="e1b25a2c-ccc4-4715-9774-503bb9887330" xmlns:ns4="f26ff68d-0168-4809-9fbc-63e19a5a703d" targetNamespace="http://schemas.microsoft.com/office/2006/metadata/properties" ma:root="true" ma:fieldsID="80ae3ee418725b8afef0923d5094616e" ns2:_="" ns3:_="" ns4:_="">
    <xsd:import namespace="8a4e297b-ba98-4686-a1a5-d42bb460104b"/>
    <xsd:import namespace="e1b25a2c-ccc4-4715-9774-503bb9887330"/>
    <xsd:import namespace="f26ff68d-0168-4809-9fbc-63e19a5a703d"/>
    <xsd:element name="properties">
      <xsd:complexType>
        <xsd:sequence>
          <xsd:element name="documentManagement">
            <xsd:complexType>
              <xsd:all>
                <xsd:element ref="ns2:Retention_x0020_End_x0020_Date"/>
                <xsd:element ref="ns3:DocumentCategory" minOccurs="0"/>
                <xsd:element ref="ns4:Year" minOccurs="0"/>
                <xsd:element ref="ns4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297b-ba98-4686-a1a5-d42bb460104b" elementFormDefault="qualified">
    <xsd:import namespace="http://schemas.microsoft.com/office/2006/documentManagement/types"/>
    <xsd:import namespace="http://schemas.microsoft.com/office/infopath/2007/PartnerControls"/>
    <xsd:element name="Retention_x0020_End_x0020_Date" ma:index="8" ma:displayName="Retention End Date" ma:format="DateOnly" ma:internalName="Retention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5a2c-ccc4-4715-9774-503bb9887330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nillable="true" ma:displayName="Document Category" ma:format="Dropdown" ma:internalName="DocumentCategory">
      <xsd:simpleType>
        <xsd:restriction base="dms:Choice">
          <xsd:enumeration value="Auto re enrolment 2019"/>
          <xsd:enumeration value="Complaints"/>
          <xsd:enumeration value="Consultations"/>
          <xsd:enumeration value="CPD Recipients 2019-20"/>
          <xsd:enumeration value="Death Cases"/>
          <xsd:enumeration value="F21s Raised"/>
          <xsd:enumeration value="FPS Estimate Calcs &amp; Letters"/>
          <xsd:enumeration value="FPS Discretions"/>
          <xsd:enumeration value="FPS Leavers"/>
          <xsd:enumeration value="FPS Starters"/>
          <xsd:enumeration value="FPS Year End"/>
          <xsd:enumeration value="GAD 2019"/>
          <xsd:enumeration value="GAD"/>
          <xsd:enumeration value="HMRC Info and Letters"/>
          <xsd:enumeration value="IDRP"/>
          <xsd:enumeration value="Ill Health Forms and Guidance"/>
          <xsd:enumeration value="Ill Health Forms and Guidance – for Healthwork"/>
          <xsd:enumeration value="LGPS AVCs – incl AVCWise"/>
          <xsd:enumeration value="LGPS Estimate Calcs &amp; Letters"/>
          <xsd:enumeration value="LGPS Data and Tasks"/>
          <xsd:enumeration value="LGPS Discretions and Policies"/>
          <xsd:enumeration value="LGPS Leavers"/>
          <xsd:enumeration value="LGPS Starters"/>
          <xsd:enumeration value="LGPS Year End"/>
          <xsd:enumeration value="LPB"/>
          <xsd:enumeration value="Opting Out"/>
          <xsd:enumeration value="Pre Ret Seminars"/>
          <xsd:enumeration value="Quarterly Board Report"/>
          <xsd:enumeration value="RDS Mod Letters"/>
          <xsd:enumeration value="Recalcs"/>
          <xsd:enumeration value="Remedy"/>
          <xsd:enumeration value="Retirements"/>
          <xsd:enumeration value="SAB Levy"/>
          <xsd:enumeration value="Strike Action Info"/>
          <xsd:enumeration value="Strike Action Info - Buy Back"/>
          <xsd:enumeration value="Strike Action Info - Buy Back - Payroll"/>
          <xsd:enumeration value="Strike Action Info - Buy Back - Wholetime"/>
          <xsd:enumeration value="Surveys"/>
          <xsd:enumeration value="Top up Gra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ff68d-0168-4809-9fbc-63e19a5a703d" elementFormDefault="qualified">
    <xsd:import namespace="http://schemas.microsoft.com/office/2006/documentManagement/types"/>
    <xsd:import namespace="http://schemas.microsoft.com/office/infopath/2007/PartnerControls"/>
    <xsd:element name="Year" ma:index="10" nillable="true" ma:displayName="Year" ma:format="Dropdown" ma:internalName="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5"/>
          <xsd:enumeration value="2021/22"/>
          <xsd:enumeration value="2020/21"/>
          <xsd:enumeration value="2019/20"/>
          <xsd:enumeration value="2018/19"/>
          <xsd:enumeration value="2017/18"/>
          <xsd:enumeration value="2016/17"/>
          <xsd:enumeration value="2015/16"/>
          <xsd:enumeration value="2014/15"/>
          <xsd:enumeration value="2013/14"/>
          <xsd:enumeration value="2012/13"/>
          <xsd:enumeration value="2011/12"/>
          <xsd:enumeration value="2002/03"/>
        </xsd:restriction>
      </xsd:simpleType>
    </xsd:element>
    <xsd:element name="Month" ma:index="11" nillable="true" ma:displayName="Month" ma:format="Dropdown" ma:internalName="Month">
      <xsd:simpleType>
        <xsd:restriction base="dms:Choice">
          <xsd:enumeration value="Full Year"/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71e8aad-cf0b-4a9f-9eee-96f183a36660" ContentTypeId="0x0101002F8500B8A1102348A2553EED50E999D3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8552-84D7-4649-9AA2-A0913184EC2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78F3E87-995D-48D1-81BF-F19DA3DF0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9182A-CDC1-4BF6-8F2D-51F7753D9C5D}">
  <ds:schemaRefs>
    <ds:schemaRef ds:uri="f26ff68d-0168-4809-9fbc-63e19a5a703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1b25a2c-ccc4-4715-9774-503bb9887330"/>
    <ds:schemaRef ds:uri="http://purl.org/dc/elements/1.1/"/>
    <ds:schemaRef ds:uri="8a4e297b-ba98-4686-a1a5-d42bb46010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BF4D03-40A4-4DE5-AC98-9A549A7F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297b-ba98-4686-a1a5-d42bb460104b"/>
    <ds:schemaRef ds:uri="e1b25a2c-ccc4-4715-9774-503bb9887330"/>
    <ds:schemaRef ds:uri="f26ff68d-0168-4809-9fbc-63e19a5a7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EFD846-D28E-46E7-9F67-69448FDA9CE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2839097-9BE6-475C-966D-CD622053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Pensions Administrator Manager Report for Pensions Board Meeting 1 Oct 2019</vt:lpstr>
    </vt:vector>
  </TitlesOfParts>
  <Company>North Yorkshire Fire &amp; Rescue Service</Company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Administrator Manager Report for Pensions Board Meeting 1 Oct 2019</dc:title>
  <dc:subject>Reports</dc:subject>
  <dc:creator>David Hood</dc:creator>
  <cp:lastModifiedBy>David Hood</cp:lastModifiedBy>
  <cp:revision>2</cp:revision>
  <cp:lastPrinted>2019-11-28T16:02:00Z</cp:lastPrinted>
  <dcterms:created xsi:type="dcterms:W3CDTF">2020-06-17T13:05:00Z</dcterms:created>
  <dcterms:modified xsi:type="dcterms:W3CDTF">2020-06-17T13:05:00Z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0x0101002F8500B8A1102348A2553EED50E999D300C293643F6797E74D801B6F489B57FF4D</vt:lpwstr>
  </property>
  <property fmtid="{D5CDD505-2E9C-101B-9397-08002B2CF9AE}" pid="3" name="_dlc_DocIdItemGuid">
    <vt:lpwstr>cd7c9d5d-b0b5-4e6e-9b0e-6627adb5197f</vt:lpwstr>
  </property>
</Properties>
</file>