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27D67" w:rsidRPr="00123303" w14:paraId="0FB44958" w14:textId="77777777" w:rsidTr="00EE7040">
        <w:trPr>
          <w:trHeight w:val="1550"/>
        </w:trPr>
        <w:tc>
          <w:tcPr>
            <w:tcW w:w="4814" w:type="dxa"/>
            <w:tcMar>
              <w:left w:w="0" w:type="dxa"/>
              <w:right w:w="0" w:type="dxa"/>
            </w:tcMar>
            <w:vAlign w:val="bottom"/>
          </w:tcPr>
          <w:p w14:paraId="4492A8D4" w14:textId="77777777" w:rsidR="00E27D67" w:rsidRPr="00D220A3" w:rsidRDefault="00236C23" w:rsidP="00123303">
            <w:pPr>
              <w:spacing w:line="288" w:lineRule="auto"/>
              <w:rPr>
                <w:b/>
                <w:color w:val="049CB3"/>
                <w:sz w:val="30"/>
                <w:szCs w:val="30"/>
              </w:rPr>
            </w:pPr>
            <w:r w:rsidRPr="00D220A3">
              <w:rPr>
                <w:b/>
                <w:color w:val="049CB3"/>
                <w:sz w:val="30"/>
                <w:szCs w:val="30"/>
              </w:rPr>
              <w:t>Decision Notice</w:t>
            </w:r>
          </w:p>
        </w:tc>
        <w:tc>
          <w:tcPr>
            <w:tcW w:w="4814" w:type="dxa"/>
            <w:tcMar>
              <w:left w:w="0" w:type="dxa"/>
              <w:right w:w="0" w:type="dxa"/>
            </w:tcMar>
            <w:vAlign w:val="bottom"/>
          </w:tcPr>
          <w:p w14:paraId="4963AB6D" w14:textId="77777777" w:rsidR="00E27D67" w:rsidRPr="00123303" w:rsidRDefault="009142D1" w:rsidP="009142D1">
            <w:pPr>
              <w:spacing w:line="288" w:lineRule="auto"/>
              <w:jc w:val="right"/>
            </w:pPr>
            <w:r>
              <w:rPr>
                <w:noProof/>
              </w:rPr>
              <w:drawing>
                <wp:inline distT="0" distB="0" distL="0" distR="0" wp14:anchorId="3845954D" wp14:editId="607D8BB4">
                  <wp:extent cx="2409825" cy="8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 (JPG) RGB.jpg"/>
                          <pic:cNvPicPr/>
                        </pic:nvPicPr>
                        <pic:blipFill rotWithShape="1">
                          <a:blip r:embed="rId10" cstate="print">
                            <a:extLst>
                              <a:ext uri="{28A0092B-C50C-407E-A947-70E740481C1C}">
                                <a14:useLocalDpi xmlns:a14="http://schemas.microsoft.com/office/drawing/2010/main" val="0"/>
                              </a:ext>
                            </a:extLst>
                          </a:blip>
                          <a:srcRect r="5527"/>
                          <a:stretch/>
                        </pic:blipFill>
                        <pic:spPr bwMode="auto">
                          <a:xfrm>
                            <a:off x="0" y="0"/>
                            <a:ext cx="2414842" cy="8112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26E7928" w14:textId="19FD36A2" w:rsidR="00E27D67" w:rsidRPr="00EE7040" w:rsidRDefault="005C129A" w:rsidP="606AFDE9">
      <w:pPr>
        <w:spacing w:line="288" w:lineRule="auto"/>
        <w:rPr>
          <w:b/>
          <w:bCs/>
          <w:color w:val="7F7F7F" w:themeColor="background1" w:themeShade="7F"/>
        </w:rPr>
      </w:pPr>
      <w:r w:rsidRPr="606AFDE9">
        <w:rPr>
          <w:b/>
          <w:bCs/>
          <w:color w:val="7F7F7F" w:themeColor="text1" w:themeTint="80"/>
          <w:sz w:val="22"/>
        </w:rPr>
        <w:t xml:space="preserve">DN </w:t>
      </w:r>
      <w:r w:rsidR="00670DF6">
        <w:rPr>
          <w:b/>
          <w:bCs/>
          <w:color w:val="7F7F7F" w:themeColor="text1" w:themeTint="80"/>
          <w:sz w:val="22"/>
        </w:rPr>
        <w:t>02</w:t>
      </w:r>
      <w:r w:rsidR="003A3880" w:rsidRPr="606AFDE9">
        <w:rPr>
          <w:b/>
          <w:bCs/>
          <w:color w:val="7F7F7F" w:themeColor="text1" w:themeTint="80"/>
          <w:sz w:val="22"/>
        </w:rPr>
        <w:t>/</w:t>
      </w:r>
      <w:r w:rsidR="00670DF6">
        <w:rPr>
          <w:b/>
          <w:bCs/>
          <w:color w:val="7F7F7F" w:themeColor="text1" w:themeTint="80"/>
          <w:sz w:val="22"/>
        </w:rPr>
        <w:t>2021</w:t>
      </w:r>
      <w:r w:rsidR="003A3880" w:rsidRPr="606AFDE9">
        <w:rPr>
          <w:b/>
          <w:bCs/>
          <w:color w:val="7F7F7F" w:themeColor="text1" w:themeTint="80"/>
          <w:sz w:val="22"/>
        </w:rPr>
        <w:t xml:space="preserve"> </w:t>
      </w:r>
      <w:r w:rsidR="00243F92">
        <w:rPr>
          <w:b/>
          <w:color w:val="7F7F7F" w:themeColor="text1" w:themeTint="80"/>
          <w:sz w:val="22"/>
        </w:rPr>
        <w:tab/>
      </w:r>
      <w:r w:rsidR="00243F92" w:rsidRPr="606AFDE9">
        <w:rPr>
          <w:b/>
          <w:bCs/>
          <w:color w:val="7F7F7F" w:themeColor="text1" w:themeTint="80"/>
          <w:sz w:val="22"/>
        </w:rPr>
        <w:t xml:space="preserve">Date </w:t>
      </w:r>
      <w:r w:rsidR="00670DF6">
        <w:rPr>
          <w:b/>
          <w:bCs/>
          <w:color w:val="7F7F7F" w:themeColor="text1" w:themeTint="80"/>
          <w:sz w:val="22"/>
        </w:rPr>
        <w:t>08/02/2021</w:t>
      </w:r>
    </w:p>
    <w:p w14:paraId="0804F601" w14:textId="7C22EBA3" w:rsidR="00F1138C" w:rsidRPr="00123303" w:rsidRDefault="00670DF6" w:rsidP="0079175C">
      <w:pPr>
        <w:pStyle w:val="Heading1"/>
      </w:pPr>
      <w:r>
        <w:t>Fire and Rescue Service Precept 2021/22</w:t>
      </w:r>
    </w:p>
    <w:p w14:paraId="415E330B" w14:textId="7D9CB460" w:rsidR="0079175C" w:rsidRDefault="606AFDE9" w:rsidP="0079175C">
      <w:r w:rsidRPr="606AFDE9">
        <w:t xml:space="preserve">The </w:t>
      </w:r>
      <w:r w:rsidR="00FC71B0">
        <w:t>Commissioner</w:t>
      </w:r>
      <w:r w:rsidRPr="606AFDE9">
        <w:t xml:space="preserve"> decided</w:t>
      </w:r>
      <w:r w:rsidR="00670DF6" w:rsidRPr="00121A38">
        <w:rPr>
          <w:rFonts w:ascii="Calibri" w:eastAsia="Calibri" w:hAnsi="Calibri"/>
        </w:rPr>
        <w:t>, after consultation with the public, to propose to the Police</w:t>
      </w:r>
      <w:r w:rsidR="00670DF6">
        <w:rPr>
          <w:rFonts w:ascii="Calibri" w:eastAsia="Calibri" w:hAnsi="Calibri"/>
        </w:rPr>
        <w:t>, Fire</w:t>
      </w:r>
      <w:r w:rsidR="00670DF6" w:rsidRPr="00121A38">
        <w:rPr>
          <w:rFonts w:ascii="Calibri" w:eastAsia="Calibri" w:hAnsi="Calibri"/>
        </w:rPr>
        <w:t xml:space="preserve"> and Crime</w:t>
      </w:r>
      <w:r w:rsidR="00670DF6">
        <w:rPr>
          <w:rFonts w:ascii="Calibri" w:eastAsia="Calibri" w:hAnsi="Calibri"/>
        </w:rPr>
        <w:t xml:space="preserve"> Panel a fire precept for 2021/22</w:t>
      </w:r>
      <w:r w:rsidR="00670DF6" w:rsidRPr="00121A38">
        <w:rPr>
          <w:rFonts w:ascii="Calibri" w:eastAsia="Calibri" w:hAnsi="Calibri"/>
        </w:rPr>
        <w:t xml:space="preserve"> of £</w:t>
      </w:r>
      <w:r w:rsidR="00670DF6">
        <w:rPr>
          <w:rFonts w:ascii="Calibri" w:eastAsia="Calibri" w:hAnsi="Calibri"/>
        </w:rPr>
        <w:t>74.14</w:t>
      </w:r>
      <w:r w:rsidR="00670DF6" w:rsidRPr="00121A38">
        <w:rPr>
          <w:rFonts w:ascii="Calibri" w:eastAsia="Calibri" w:hAnsi="Calibri"/>
        </w:rPr>
        <w:t xml:space="preserve"> for a Band D property within North Yorkshire. This would be an increase of </w:t>
      </w:r>
      <w:r w:rsidR="00670DF6">
        <w:rPr>
          <w:rFonts w:ascii="Calibri" w:eastAsia="Calibri" w:hAnsi="Calibri"/>
        </w:rPr>
        <w:t xml:space="preserve">1.99% (or </w:t>
      </w:r>
      <w:r w:rsidR="00670DF6" w:rsidRPr="00121A38">
        <w:rPr>
          <w:rFonts w:ascii="Calibri" w:eastAsia="Calibri" w:hAnsi="Calibri"/>
        </w:rPr>
        <w:t>£</w:t>
      </w:r>
      <w:r w:rsidR="00670DF6">
        <w:rPr>
          <w:rFonts w:ascii="Calibri" w:eastAsia="Calibri" w:hAnsi="Calibri"/>
        </w:rPr>
        <w:t>1.45)</w:t>
      </w:r>
      <w:r w:rsidR="00670DF6" w:rsidRPr="00121A38">
        <w:rPr>
          <w:rFonts w:ascii="Calibri" w:eastAsia="Calibri" w:hAnsi="Calibri"/>
        </w:rPr>
        <w:t xml:space="preserve"> pe</w:t>
      </w:r>
      <w:r w:rsidR="00670DF6">
        <w:rPr>
          <w:rFonts w:ascii="Calibri" w:eastAsia="Calibri" w:hAnsi="Calibri"/>
        </w:rPr>
        <w:t>r annum, from the 2020/21 level.</w:t>
      </w:r>
      <w:r w:rsidRPr="606AFDE9">
        <w:t xml:space="preserve"> </w:t>
      </w:r>
      <w:r w:rsidR="00670DF6">
        <w:t xml:space="preserve">The Panel agreed with </w:t>
      </w:r>
      <w:r w:rsidR="00840AA8">
        <w:t>the proposal</w:t>
      </w:r>
      <w:r w:rsidR="00670DF6">
        <w:t xml:space="preserve"> and therefore the Commissioner has set the precept at this level.</w:t>
      </w:r>
    </w:p>
    <w:p w14:paraId="55D90D0E" w14:textId="77777777" w:rsidR="00857BE6" w:rsidRDefault="606AFDE9" w:rsidP="0079175C">
      <w:pPr>
        <w:pStyle w:val="Heading2"/>
      </w:pPr>
      <w:r w:rsidRPr="606AFDE9">
        <w:t>Background</w:t>
      </w:r>
    </w:p>
    <w:p w14:paraId="69A4E4DE" w14:textId="6375AD6A" w:rsidR="00670DF6" w:rsidRPr="00121A38" w:rsidRDefault="00670DF6" w:rsidP="00670DF6">
      <w:pPr>
        <w:spacing w:after="160" w:line="259" w:lineRule="auto"/>
        <w:rPr>
          <w:rFonts w:ascii="Calibri" w:eastAsia="Calibri" w:hAnsi="Calibri"/>
        </w:rPr>
      </w:pPr>
      <w:r w:rsidRPr="00121A38">
        <w:rPr>
          <w:rFonts w:ascii="Calibri" w:eastAsia="Calibri" w:hAnsi="Calibri"/>
        </w:rPr>
        <w:t>Legislation requires that the Police</w:t>
      </w:r>
      <w:r>
        <w:rPr>
          <w:rFonts w:ascii="Calibri" w:eastAsia="Calibri" w:hAnsi="Calibri"/>
        </w:rPr>
        <w:t>, Fire</w:t>
      </w:r>
      <w:r w:rsidRPr="00121A38">
        <w:rPr>
          <w:rFonts w:ascii="Calibri" w:eastAsia="Calibri" w:hAnsi="Calibri"/>
        </w:rPr>
        <w:t xml:space="preserve"> and Crime Commissioner agrees their budget and associated precept and basic council tax for the forthcoming year before 1</w:t>
      </w:r>
      <w:r w:rsidRPr="00121A38">
        <w:rPr>
          <w:rFonts w:ascii="Calibri" w:eastAsia="Calibri" w:hAnsi="Calibri"/>
          <w:vertAlign w:val="superscript"/>
        </w:rPr>
        <w:t>st</w:t>
      </w:r>
      <w:r w:rsidRPr="00121A38">
        <w:rPr>
          <w:rFonts w:ascii="Calibri" w:eastAsia="Calibri" w:hAnsi="Calibri"/>
        </w:rPr>
        <w:t xml:space="preserve"> March each year. However before doing so the </w:t>
      </w:r>
      <w:r w:rsidR="00840AA8">
        <w:rPr>
          <w:rFonts w:ascii="Calibri" w:eastAsia="Calibri" w:hAnsi="Calibri"/>
        </w:rPr>
        <w:t>Commissioner</w:t>
      </w:r>
      <w:r w:rsidRPr="00121A38">
        <w:rPr>
          <w:rFonts w:ascii="Calibri" w:eastAsia="Calibri" w:hAnsi="Calibri"/>
        </w:rPr>
        <w:t xml:space="preserve"> must notify the relevant Police</w:t>
      </w:r>
      <w:r>
        <w:rPr>
          <w:rFonts w:ascii="Calibri" w:eastAsia="Calibri" w:hAnsi="Calibri"/>
        </w:rPr>
        <w:t>, Fire</w:t>
      </w:r>
      <w:r w:rsidRPr="00121A38">
        <w:rPr>
          <w:rFonts w:ascii="Calibri" w:eastAsia="Calibri" w:hAnsi="Calibri"/>
        </w:rPr>
        <w:t xml:space="preserve"> and Crime Panel, by the 31</w:t>
      </w:r>
      <w:r w:rsidRPr="00121A38">
        <w:rPr>
          <w:rFonts w:ascii="Calibri" w:eastAsia="Calibri" w:hAnsi="Calibri"/>
          <w:vertAlign w:val="superscript"/>
        </w:rPr>
        <w:t>st</w:t>
      </w:r>
      <w:r w:rsidRPr="00121A38">
        <w:rPr>
          <w:rFonts w:ascii="Calibri" w:eastAsia="Calibri" w:hAnsi="Calibri"/>
        </w:rPr>
        <w:t xml:space="preserve"> January, of the precept which they propose to issue for the following financial year.</w:t>
      </w:r>
    </w:p>
    <w:p w14:paraId="75ED05BE" w14:textId="77777777" w:rsidR="00670DF6" w:rsidRDefault="00670DF6" w:rsidP="00670DF6">
      <w:pPr>
        <w:spacing w:after="160" w:line="259" w:lineRule="auto"/>
        <w:rPr>
          <w:rFonts w:ascii="Calibri" w:eastAsia="Calibri" w:hAnsi="Calibri"/>
        </w:rPr>
      </w:pPr>
      <w:r w:rsidRPr="00973F37">
        <w:rPr>
          <w:rFonts w:ascii="Calibri" w:eastAsia="Calibri" w:hAnsi="Calibri"/>
        </w:rPr>
        <w:t xml:space="preserve">The Provisional Local Government Finance Settlement was announced by the Secretary of State for Communities and Local Government, Robert Jenwick MP, in a written statement to the House of Commons on </w:t>
      </w:r>
      <w:r>
        <w:rPr>
          <w:rFonts w:ascii="Calibri" w:eastAsia="Calibri" w:hAnsi="Calibri"/>
        </w:rPr>
        <w:t>17</w:t>
      </w:r>
      <w:r w:rsidRPr="00973F37">
        <w:rPr>
          <w:rFonts w:ascii="Calibri" w:eastAsia="Calibri" w:hAnsi="Calibri"/>
        </w:rPr>
        <w:t xml:space="preserve"> December</w:t>
      </w:r>
      <w:r w:rsidRPr="005B0FAA">
        <w:t xml:space="preserve"> </w:t>
      </w:r>
      <w:r w:rsidRPr="005B0FAA">
        <w:rPr>
          <w:rFonts w:ascii="Calibri" w:eastAsia="Calibri" w:hAnsi="Calibri"/>
        </w:rPr>
        <w:t>2</w:t>
      </w:r>
      <w:r>
        <w:rPr>
          <w:rFonts w:ascii="Calibri" w:eastAsia="Calibri" w:hAnsi="Calibri"/>
        </w:rPr>
        <w:t>020</w:t>
      </w:r>
      <w:r w:rsidRPr="005B0FAA">
        <w:rPr>
          <w:rFonts w:ascii="Calibri" w:eastAsia="Calibri" w:hAnsi="Calibri"/>
        </w:rPr>
        <w:t>.</w:t>
      </w:r>
    </w:p>
    <w:p w14:paraId="210235D9" w14:textId="77777777" w:rsidR="00670DF6" w:rsidRDefault="00670DF6" w:rsidP="00670DF6">
      <w:pPr>
        <w:spacing w:after="160" w:line="259" w:lineRule="auto"/>
        <w:rPr>
          <w:rFonts w:ascii="Calibri" w:eastAsia="Calibri" w:hAnsi="Calibri"/>
        </w:rPr>
      </w:pPr>
      <w:r>
        <w:rPr>
          <w:rFonts w:ascii="Calibri" w:eastAsia="Calibri" w:hAnsi="Calibri"/>
        </w:rPr>
        <w:t xml:space="preserve">Within the announcement it was set out that </w:t>
      </w:r>
      <w:r w:rsidRPr="004B4EE0">
        <w:rPr>
          <w:rFonts w:ascii="Calibri" w:eastAsia="Calibri" w:hAnsi="Calibri"/>
        </w:rPr>
        <w:t xml:space="preserve">fire authorities </w:t>
      </w:r>
      <w:r>
        <w:rPr>
          <w:rFonts w:ascii="Calibri" w:eastAsia="Calibri" w:hAnsi="Calibri"/>
        </w:rPr>
        <w:t xml:space="preserve">would be subject to the same </w:t>
      </w:r>
      <w:r w:rsidRPr="004B4EE0">
        <w:rPr>
          <w:rFonts w:ascii="Calibri" w:eastAsia="Calibri" w:hAnsi="Calibri"/>
        </w:rPr>
        <w:t>council tax referendum principles</w:t>
      </w:r>
      <w:r>
        <w:rPr>
          <w:rFonts w:ascii="Calibri" w:eastAsia="Calibri" w:hAnsi="Calibri"/>
        </w:rPr>
        <w:t xml:space="preserve"> as last year and this would require that any increase in the Fire Precept of 2%, or more, would require a referendum.</w:t>
      </w:r>
    </w:p>
    <w:p w14:paraId="6CD887FE" w14:textId="196A56D9" w:rsidR="00670DF6" w:rsidRDefault="00670DF6" w:rsidP="00670DF6">
      <w:pPr>
        <w:spacing w:after="160" w:line="259" w:lineRule="auto"/>
        <w:rPr>
          <w:rFonts w:ascii="Calibri" w:eastAsia="Calibri" w:hAnsi="Calibri"/>
        </w:rPr>
      </w:pPr>
      <w:r>
        <w:rPr>
          <w:rFonts w:ascii="Calibri" w:eastAsia="Calibri" w:hAnsi="Calibri"/>
        </w:rPr>
        <w:t xml:space="preserve">Consultation with the public of North Yorkshire has been undertaken to help inform the </w:t>
      </w:r>
      <w:r w:rsidR="00840AA8">
        <w:rPr>
          <w:rFonts w:ascii="Calibri" w:eastAsia="Calibri" w:hAnsi="Calibri"/>
        </w:rPr>
        <w:t>Commissioner</w:t>
      </w:r>
      <w:r>
        <w:rPr>
          <w:rFonts w:ascii="Calibri" w:eastAsia="Calibri" w:hAnsi="Calibri"/>
        </w:rPr>
        <w:t xml:space="preserve"> of their views in relation to precept increase for the Fire Service.</w:t>
      </w:r>
    </w:p>
    <w:p w14:paraId="0D14ADB2" w14:textId="1E9474FC" w:rsidR="00670DF6" w:rsidRDefault="00670DF6" w:rsidP="00670DF6">
      <w:pPr>
        <w:spacing w:after="160" w:line="259" w:lineRule="auto"/>
        <w:rPr>
          <w:rFonts w:ascii="Calibri" w:eastAsia="Calibri" w:hAnsi="Calibri"/>
        </w:rPr>
      </w:pPr>
      <w:r w:rsidRPr="000D3084">
        <w:rPr>
          <w:rFonts w:ascii="Calibri" w:eastAsia="Calibri" w:hAnsi="Calibri"/>
        </w:rPr>
        <w:t xml:space="preserve">The results of consultation with the public of North Yorkshire in relation to the level of </w:t>
      </w:r>
      <w:r>
        <w:rPr>
          <w:rFonts w:ascii="Calibri" w:eastAsia="Calibri" w:hAnsi="Calibri"/>
        </w:rPr>
        <w:t>Fire precept for 2021/22</w:t>
      </w:r>
      <w:r w:rsidRPr="000D3084">
        <w:rPr>
          <w:rFonts w:ascii="Calibri" w:eastAsia="Calibri" w:hAnsi="Calibri"/>
        </w:rPr>
        <w:t xml:space="preserve">, </w:t>
      </w:r>
      <w:r w:rsidRPr="005B0724">
        <w:rPr>
          <w:rFonts w:ascii="Calibri" w:eastAsia="Calibri" w:hAnsi="Calibri"/>
        </w:rPr>
        <w:t xml:space="preserve">which had </w:t>
      </w:r>
      <w:r>
        <w:rPr>
          <w:rFonts w:ascii="Calibri" w:eastAsia="Calibri" w:hAnsi="Calibri"/>
        </w:rPr>
        <w:t>3,085</w:t>
      </w:r>
      <w:r w:rsidRPr="005B0724">
        <w:rPr>
          <w:rFonts w:ascii="Calibri" w:eastAsia="Calibri" w:hAnsi="Calibri"/>
        </w:rPr>
        <w:t xml:space="preserve"> responses, has resulted in </w:t>
      </w:r>
      <w:r w:rsidRPr="00C06E30">
        <w:rPr>
          <w:rFonts w:ascii="Calibri" w:eastAsia="Calibri" w:hAnsi="Calibri"/>
        </w:rPr>
        <w:t>7</w:t>
      </w:r>
      <w:r>
        <w:rPr>
          <w:rFonts w:ascii="Calibri" w:eastAsia="Calibri" w:hAnsi="Calibri"/>
        </w:rPr>
        <w:t>2</w:t>
      </w:r>
      <w:r w:rsidRPr="00C06E30">
        <w:rPr>
          <w:rFonts w:ascii="Calibri" w:eastAsia="Calibri" w:hAnsi="Calibri"/>
        </w:rPr>
        <w:t>%</w:t>
      </w:r>
      <w:r w:rsidRPr="005B0724">
        <w:rPr>
          <w:rFonts w:ascii="Calibri" w:eastAsia="Calibri" w:hAnsi="Calibri"/>
        </w:rPr>
        <w:t xml:space="preserve"> of the </w:t>
      </w:r>
      <w:r>
        <w:rPr>
          <w:rFonts w:ascii="Calibri" w:eastAsia="Calibri" w:hAnsi="Calibri"/>
        </w:rPr>
        <w:t xml:space="preserve">responders </w:t>
      </w:r>
      <w:r w:rsidRPr="005B0724">
        <w:rPr>
          <w:rFonts w:ascii="Calibri" w:eastAsia="Calibri" w:hAnsi="Calibri"/>
        </w:rPr>
        <w:t>supporting an increase</w:t>
      </w:r>
      <w:r>
        <w:rPr>
          <w:rFonts w:ascii="Calibri" w:eastAsia="Calibri" w:hAnsi="Calibri"/>
        </w:rPr>
        <w:t xml:space="preserve"> of 1.99% or above</w:t>
      </w:r>
      <w:r w:rsidRPr="005B0724">
        <w:rPr>
          <w:rFonts w:ascii="Calibri" w:eastAsia="Calibri" w:hAnsi="Calibri"/>
        </w:rPr>
        <w:t>.</w:t>
      </w:r>
    </w:p>
    <w:p w14:paraId="6D582E33" w14:textId="77777777" w:rsidR="00670DF6" w:rsidRDefault="00670DF6" w:rsidP="00670DF6">
      <w:pPr>
        <w:spacing w:after="160" w:line="259" w:lineRule="auto"/>
        <w:rPr>
          <w:rFonts w:ascii="Calibri" w:eastAsia="Calibri" w:hAnsi="Calibri"/>
        </w:rPr>
      </w:pPr>
      <w:r>
        <w:rPr>
          <w:rFonts w:ascii="Calibri" w:eastAsia="Calibri" w:hAnsi="Calibri"/>
        </w:rPr>
        <w:t>The overall results are summarised below:</w:t>
      </w:r>
    </w:p>
    <w:tbl>
      <w:tblPr>
        <w:tblW w:w="7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1132"/>
        <w:gridCol w:w="1272"/>
        <w:gridCol w:w="1101"/>
      </w:tblGrid>
      <w:tr w:rsidR="00670DF6" w:rsidRPr="005B0FAA" w14:paraId="197F31F5" w14:textId="77777777" w:rsidTr="00CC4F28">
        <w:trPr>
          <w:trHeight w:val="470"/>
          <w:jc w:val="center"/>
        </w:trPr>
        <w:tc>
          <w:tcPr>
            <w:tcW w:w="4298" w:type="dxa"/>
            <w:tcBorders>
              <w:top w:val="nil"/>
              <w:left w:val="nil"/>
              <w:bottom w:val="single" w:sz="4" w:space="0" w:color="auto"/>
              <w:right w:val="single" w:sz="4" w:space="0" w:color="auto"/>
            </w:tcBorders>
          </w:tcPr>
          <w:p w14:paraId="6AF13EA1" w14:textId="77777777" w:rsidR="00670DF6" w:rsidRPr="005B0FAA" w:rsidRDefault="00670DF6" w:rsidP="00CC4F28">
            <w:pPr>
              <w:spacing w:after="120" w:line="264" w:lineRule="auto"/>
              <w:jc w:val="both"/>
              <w:rPr>
                <w:rFonts w:ascii="Calibri" w:eastAsia="Calibri" w:hAnsi="Calibri" w:cs="Calibri"/>
                <w:iCs/>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3FC9A1A" w14:textId="77777777" w:rsidR="00670DF6" w:rsidRPr="005B0FAA" w:rsidRDefault="00670DF6" w:rsidP="00CC4F28">
            <w:pPr>
              <w:spacing w:line="264" w:lineRule="auto"/>
              <w:jc w:val="center"/>
              <w:rPr>
                <w:rFonts w:ascii="Calibri" w:eastAsia="Calibri" w:hAnsi="Calibri" w:cs="Calibri"/>
                <w:b/>
                <w:iCs/>
              </w:rPr>
            </w:pPr>
            <w:r w:rsidRPr="005B0FAA">
              <w:rPr>
                <w:rFonts w:ascii="Calibri" w:eastAsia="Calibri" w:hAnsi="Calibri" w:cs="Calibri"/>
                <w:b/>
                <w:iCs/>
              </w:rPr>
              <w:t xml:space="preserve">Total </w:t>
            </w:r>
          </w:p>
          <w:p w14:paraId="4CB0BBC6" w14:textId="77777777" w:rsidR="00670DF6" w:rsidRPr="005B0FAA" w:rsidRDefault="00670DF6" w:rsidP="00CC4F28">
            <w:pPr>
              <w:spacing w:line="264" w:lineRule="auto"/>
              <w:jc w:val="center"/>
              <w:rPr>
                <w:rFonts w:ascii="Calibri" w:eastAsia="Calibri" w:hAnsi="Calibri" w:cs="Calibri"/>
                <w:b/>
                <w:iCs/>
              </w:rPr>
            </w:pPr>
            <w:r w:rsidRPr="005B0FAA">
              <w:rPr>
                <w:rFonts w:ascii="Calibri" w:eastAsia="Calibri" w:hAnsi="Calibri" w:cs="Calibri"/>
                <w:b/>
                <w:iCs/>
              </w:rPr>
              <w:t>(n=3085)</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3207D16" w14:textId="77777777" w:rsidR="00670DF6" w:rsidRPr="005B0FAA" w:rsidRDefault="00670DF6" w:rsidP="00CC4F28">
            <w:pPr>
              <w:spacing w:line="264" w:lineRule="auto"/>
              <w:jc w:val="center"/>
              <w:rPr>
                <w:rFonts w:ascii="Calibri" w:eastAsia="Calibri" w:hAnsi="Calibri" w:cs="Calibri"/>
                <w:b/>
                <w:iCs/>
              </w:rPr>
            </w:pPr>
            <w:r w:rsidRPr="005B0FAA">
              <w:rPr>
                <w:rFonts w:ascii="Calibri" w:eastAsia="Calibri" w:hAnsi="Calibri" w:cs="Calibri"/>
                <w:b/>
                <w:iCs/>
              </w:rPr>
              <w:t>Telephone (n=974)</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006B8CE3" w14:textId="77777777" w:rsidR="00670DF6" w:rsidRPr="005B0FAA" w:rsidRDefault="00670DF6" w:rsidP="00CC4F28">
            <w:pPr>
              <w:spacing w:line="264" w:lineRule="auto"/>
              <w:jc w:val="center"/>
              <w:rPr>
                <w:rFonts w:ascii="Calibri" w:eastAsia="Calibri" w:hAnsi="Calibri" w:cs="Calibri"/>
                <w:b/>
                <w:iCs/>
              </w:rPr>
            </w:pPr>
            <w:r w:rsidRPr="005B0FAA">
              <w:rPr>
                <w:rFonts w:ascii="Calibri" w:eastAsia="Calibri" w:hAnsi="Calibri" w:cs="Calibri"/>
                <w:b/>
                <w:iCs/>
              </w:rPr>
              <w:t xml:space="preserve">Online </w:t>
            </w:r>
          </w:p>
          <w:p w14:paraId="3908966A" w14:textId="77777777" w:rsidR="00670DF6" w:rsidRPr="005B0FAA" w:rsidRDefault="00670DF6" w:rsidP="00CC4F28">
            <w:pPr>
              <w:spacing w:line="264" w:lineRule="auto"/>
              <w:jc w:val="center"/>
              <w:rPr>
                <w:rFonts w:ascii="Calibri" w:eastAsia="Calibri" w:hAnsi="Calibri" w:cs="Calibri"/>
                <w:b/>
                <w:iCs/>
              </w:rPr>
            </w:pPr>
            <w:r w:rsidRPr="005B0FAA">
              <w:rPr>
                <w:rFonts w:ascii="Calibri" w:eastAsia="Calibri" w:hAnsi="Calibri" w:cs="Calibri"/>
                <w:b/>
                <w:iCs/>
              </w:rPr>
              <w:t>(n=2111)</w:t>
            </w:r>
          </w:p>
        </w:tc>
      </w:tr>
      <w:tr w:rsidR="00670DF6" w:rsidRPr="005B0FAA" w14:paraId="71DFC755" w14:textId="77777777" w:rsidTr="00CC4F28">
        <w:trPr>
          <w:trHeight w:val="317"/>
          <w:jc w:val="center"/>
        </w:trPr>
        <w:tc>
          <w:tcPr>
            <w:tcW w:w="4298" w:type="dxa"/>
            <w:tcBorders>
              <w:top w:val="single" w:sz="4" w:space="0" w:color="auto"/>
              <w:left w:val="single" w:sz="4" w:space="0" w:color="auto"/>
              <w:bottom w:val="single" w:sz="4" w:space="0" w:color="auto"/>
              <w:right w:val="single" w:sz="4" w:space="0" w:color="auto"/>
            </w:tcBorders>
            <w:hideMark/>
          </w:tcPr>
          <w:p w14:paraId="3FAC53F4" w14:textId="77777777" w:rsidR="00670DF6" w:rsidRPr="005B0FAA" w:rsidRDefault="00670DF6" w:rsidP="00CC4F28">
            <w:pPr>
              <w:spacing w:after="120" w:line="264" w:lineRule="auto"/>
              <w:jc w:val="right"/>
              <w:rPr>
                <w:rFonts w:ascii="Calibri" w:hAnsi="Calibri" w:cs="Calibri"/>
              </w:rPr>
            </w:pPr>
            <w:r w:rsidRPr="005B0FAA">
              <w:rPr>
                <w:rFonts w:ascii="Calibri" w:hAnsi="Calibri" w:cs="Calibri"/>
                <w:b/>
                <w:bCs/>
              </w:rPr>
              <w:t>No more than I pay now</w:t>
            </w:r>
            <w:r w:rsidRPr="005B0FAA">
              <w:rPr>
                <w:rFonts w:ascii="Calibri" w:hAnsi="Calibri" w:cs="Calibri"/>
              </w:rPr>
              <w:t xml:space="preserve"> – a precept freeze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D8A36" w14:textId="77777777" w:rsidR="00670DF6" w:rsidRPr="005B0FAA" w:rsidRDefault="00670DF6" w:rsidP="00CC4F28">
            <w:pPr>
              <w:spacing w:after="120" w:line="264" w:lineRule="auto"/>
              <w:jc w:val="center"/>
              <w:rPr>
                <w:rFonts w:ascii="Calibri" w:eastAsia="Calibri" w:hAnsi="Calibri" w:cs="Calibri"/>
                <w:b/>
                <w:bCs/>
                <w:color w:val="000000"/>
              </w:rPr>
            </w:pPr>
            <w:r w:rsidRPr="005B0FAA">
              <w:rPr>
                <w:rFonts w:ascii="Calibri" w:eastAsia="Calibri" w:hAnsi="Calibri" w:cs="Calibri"/>
                <w:b/>
                <w:bCs/>
                <w:color w:val="000000"/>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4C19E6"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8A760F"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28%</w:t>
            </w:r>
          </w:p>
        </w:tc>
      </w:tr>
      <w:tr w:rsidR="00670DF6" w:rsidRPr="005B0FAA" w14:paraId="288B98CC" w14:textId="77777777" w:rsidTr="00CC4F28">
        <w:trPr>
          <w:trHeight w:val="317"/>
          <w:jc w:val="center"/>
        </w:trPr>
        <w:tc>
          <w:tcPr>
            <w:tcW w:w="4298" w:type="dxa"/>
            <w:tcBorders>
              <w:top w:val="single" w:sz="4" w:space="0" w:color="auto"/>
              <w:left w:val="single" w:sz="4" w:space="0" w:color="auto"/>
              <w:bottom w:val="single" w:sz="4" w:space="0" w:color="auto"/>
              <w:right w:val="single" w:sz="4" w:space="0" w:color="auto"/>
            </w:tcBorders>
            <w:hideMark/>
          </w:tcPr>
          <w:p w14:paraId="30EEF653" w14:textId="77777777" w:rsidR="00670DF6" w:rsidRPr="005B0FAA" w:rsidRDefault="00670DF6" w:rsidP="00CC4F28">
            <w:pPr>
              <w:spacing w:after="120" w:line="264" w:lineRule="auto"/>
              <w:jc w:val="right"/>
              <w:rPr>
                <w:rFonts w:ascii="Calibri" w:hAnsi="Calibri" w:cs="Calibri"/>
              </w:rPr>
            </w:pPr>
            <w:r w:rsidRPr="005B0FAA">
              <w:rPr>
                <w:rFonts w:ascii="Calibri" w:eastAsia="Calibri" w:hAnsi="Calibri" w:cs="Calibri"/>
                <w:b/>
                <w:bCs/>
              </w:rPr>
              <w:t>Up to £1.45</w:t>
            </w:r>
            <w:r w:rsidRPr="005B0FAA">
              <w:rPr>
                <w:rFonts w:ascii="Calibri" w:eastAsia="Calibri" w:hAnsi="Calibri" w:cs="Calibri"/>
              </w:rPr>
              <w:t>, an increase of 1.99%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C9E19" w14:textId="77777777" w:rsidR="00670DF6" w:rsidRPr="005B0FAA" w:rsidRDefault="00670DF6" w:rsidP="00CC4F28">
            <w:pPr>
              <w:spacing w:after="120" w:line="264" w:lineRule="auto"/>
              <w:jc w:val="center"/>
              <w:rPr>
                <w:rFonts w:ascii="Calibri" w:eastAsia="Calibri" w:hAnsi="Calibri" w:cs="Calibri"/>
                <w:b/>
                <w:bCs/>
                <w:color w:val="000000"/>
              </w:rPr>
            </w:pPr>
            <w:r w:rsidRPr="005B0FAA">
              <w:rPr>
                <w:rFonts w:ascii="Calibri" w:eastAsia="Calibri" w:hAnsi="Calibri" w:cs="Calibri"/>
                <w:b/>
                <w:bCs/>
                <w:color w:val="000000"/>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FA1E05"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5E5FBC"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31%</w:t>
            </w:r>
          </w:p>
        </w:tc>
      </w:tr>
      <w:tr w:rsidR="00670DF6" w:rsidRPr="005B0FAA" w14:paraId="13863DDB" w14:textId="77777777" w:rsidTr="00CC4F28">
        <w:trPr>
          <w:trHeight w:val="279"/>
          <w:jc w:val="center"/>
        </w:trPr>
        <w:tc>
          <w:tcPr>
            <w:tcW w:w="4298" w:type="dxa"/>
            <w:tcBorders>
              <w:top w:val="single" w:sz="4" w:space="0" w:color="auto"/>
              <w:left w:val="single" w:sz="4" w:space="0" w:color="auto"/>
              <w:bottom w:val="single" w:sz="4" w:space="0" w:color="auto"/>
              <w:right w:val="single" w:sz="4" w:space="0" w:color="auto"/>
            </w:tcBorders>
            <w:hideMark/>
          </w:tcPr>
          <w:p w14:paraId="0E719A5C" w14:textId="77777777" w:rsidR="00670DF6" w:rsidRPr="005B0FAA" w:rsidRDefault="00670DF6" w:rsidP="00CC4F28">
            <w:pPr>
              <w:spacing w:after="120" w:line="264" w:lineRule="auto"/>
              <w:jc w:val="right"/>
              <w:rPr>
                <w:rFonts w:ascii="Calibri" w:hAnsi="Calibri" w:cs="Calibri"/>
              </w:rPr>
            </w:pPr>
            <w:r w:rsidRPr="005B0FAA">
              <w:rPr>
                <w:rFonts w:ascii="Calibri" w:eastAsia="Calibri" w:hAnsi="Calibri" w:cs="Calibri"/>
                <w:b/>
                <w:bCs/>
              </w:rPr>
              <w:t>Up to £5</w:t>
            </w:r>
            <w:r w:rsidRPr="005B0FAA">
              <w:rPr>
                <w:rFonts w:ascii="Calibri" w:eastAsia="Calibri" w:hAnsi="Calibri" w:cs="Calibri"/>
              </w:rPr>
              <w:t>, an increase of 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3B8381" w14:textId="77777777" w:rsidR="00670DF6" w:rsidRPr="005B0FAA" w:rsidRDefault="00670DF6" w:rsidP="00CC4F28">
            <w:pPr>
              <w:spacing w:after="120" w:line="264" w:lineRule="auto"/>
              <w:jc w:val="center"/>
              <w:rPr>
                <w:rFonts w:ascii="Calibri" w:eastAsia="Calibri" w:hAnsi="Calibri" w:cs="Calibri"/>
                <w:b/>
                <w:bCs/>
                <w:color w:val="000000"/>
              </w:rPr>
            </w:pPr>
            <w:r w:rsidRPr="005B0FAA">
              <w:rPr>
                <w:rFonts w:ascii="Calibri" w:eastAsia="Calibri" w:hAnsi="Calibri" w:cs="Calibri"/>
                <w:b/>
                <w:bCs/>
                <w:color w:val="000000"/>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30BBAB"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9C2D64"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24%</w:t>
            </w:r>
          </w:p>
        </w:tc>
      </w:tr>
      <w:tr w:rsidR="00670DF6" w:rsidRPr="005B0FAA" w14:paraId="59DF24EE" w14:textId="77777777" w:rsidTr="00CC4F28">
        <w:trPr>
          <w:trHeight w:val="285"/>
          <w:jc w:val="center"/>
        </w:trPr>
        <w:tc>
          <w:tcPr>
            <w:tcW w:w="4298" w:type="dxa"/>
            <w:tcBorders>
              <w:top w:val="single" w:sz="4" w:space="0" w:color="auto"/>
              <w:left w:val="single" w:sz="4" w:space="0" w:color="auto"/>
              <w:bottom w:val="single" w:sz="4" w:space="0" w:color="auto"/>
              <w:right w:val="single" w:sz="4" w:space="0" w:color="auto"/>
            </w:tcBorders>
            <w:hideMark/>
          </w:tcPr>
          <w:p w14:paraId="1FFFC869" w14:textId="77777777" w:rsidR="00670DF6" w:rsidRPr="005B0FAA" w:rsidRDefault="00670DF6" w:rsidP="00CC4F28">
            <w:pPr>
              <w:spacing w:after="120" w:line="264" w:lineRule="auto"/>
              <w:jc w:val="right"/>
              <w:rPr>
                <w:rFonts w:ascii="Calibri" w:hAnsi="Calibri" w:cs="Calibri"/>
              </w:rPr>
            </w:pPr>
            <w:r w:rsidRPr="005B0FAA">
              <w:rPr>
                <w:rFonts w:ascii="Calibri" w:eastAsia="Calibri" w:hAnsi="Calibri" w:cs="Calibri"/>
                <w:b/>
                <w:bCs/>
              </w:rPr>
              <w:t>Up to £10</w:t>
            </w:r>
            <w:r w:rsidRPr="005B0FAA">
              <w:rPr>
                <w:rFonts w:ascii="Calibri" w:eastAsia="Calibri" w:hAnsi="Calibri" w:cs="Calibri"/>
              </w:rPr>
              <w:t>, an increase of 13.8%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8336B" w14:textId="77777777" w:rsidR="00670DF6" w:rsidRPr="005B0FAA" w:rsidRDefault="00670DF6" w:rsidP="00CC4F28">
            <w:pPr>
              <w:spacing w:after="120" w:line="264" w:lineRule="auto"/>
              <w:jc w:val="center"/>
              <w:rPr>
                <w:rFonts w:ascii="Calibri" w:eastAsia="Calibri" w:hAnsi="Calibri" w:cs="Calibri"/>
                <w:b/>
                <w:bCs/>
                <w:color w:val="000000"/>
              </w:rPr>
            </w:pPr>
            <w:r w:rsidRPr="005B0FAA">
              <w:rPr>
                <w:rFonts w:ascii="Calibri" w:eastAsia="Calibri" w:hAnsi="Calibri" w:cs="Calibri"/>
                <w:b/>
                <w:bCs/>
                <w:color w:val="000000"/>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97074"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BF127" w14:textId="77777777" w:rsidR="00670DF6" w:rsidRPr="005B0FAA" w:rsidRDefault="00670DF6" w:rsidP="00CC4F28">
            <w:pPr>
              <w:spacing w:after="120" w:line="264" w:lineRule="auto"/>
              <w:jc w:val="center"/>
              <w:rPr>
                <w:rFonts w:ascii="Calibri" w:eastAsia="Calibri" w:hAnsi="Calibri" w:cs="Calibri"/>
                <w:iCs/>
              </w:rPr>
            </w:pPr>
            <w:r w:rsidRPr="005B0FAA">
              <w:rPr>
                <w:rFonts w:ascii="Calibri" w:eastAsia="Calibri" w:hAnsi="Calibri" w:cs="Calibri"/>
                <w:color w:val="000000"/>
              </w:rPr>
              <w:t>17%</w:t>
            </w:r>
          </w:p>
        </w:tc>
      </w:tr>
      <w:tr w:rsidR="00670DF6" w:rsidRPr="005B0FAA" w14:paraId="6DA7CE6A" w14:textId="77777777" w:rsidTr="00670DF6">
        <w:trPr>
          <w:trHeight w:val="245"/>
          <w:jc w:val="center"/>
        </w:trPr>
        <w:tc>
          <w:tcPr>
            <w:tcW w:w="4298" w:type="dxa"/>
            <w:tcBorders>
              <w:top w:val="single" w:sz="4" w:space="0" w:color="auto"/>
              <w:left w:val="single" w:sz="4" w:space="0" w:color="auto"/>
              <w:bottom w:val="single" w:sz="4" w:space="0" w:color="auto"/>
              <w:right w:val="single" w:sz="4" w:space="0" w:color="auto"/>
            </w:tcBorders>
            <w:shd w:val="clear" w:color="auto" w:fill="B3E1E8"/>
            <w:hideMark/>
          </w:tcPr>
          <w:p w14:paraId="6098AE67" w14:textId="77777777" w:rsidR="00670DF6" w:rsidRPr="00670DF6" w:rsidRDefault="00670DF6" w:rsidP="00CC4F28">
            <w:pPr>
              <w:spacing w:after="120" w:line="264" w:lineRule="auto"/>
              <w:jc w:val="both"/>
              <w:rPr>
                <w:rFonts w:ascii="Calibri" w:eastAsia="Calibri" w:hAnsi="Calibri" w:cs="Calibri"/>
                <w:b/>
                <w:i/>
              </w:rPr>
            </w:pPr>
            <w:r w:rsidRPr="00670DF6">
              <w:rPr>
                <w:rFonts w:ascii="Calibri" w:eastAsia="Calibri" w:hAnsi="Calibri" w:cs="Calibri"/>
                <w:b/>
                <w:i/>
              </w:rPr>
              <w:t>TOTAL who support an increase of at least 1.99%</w:t>
            </w:r>
          </w:p>
        </w:tc>
        <w:tc>
          <w:tcPr>
            <w:tcW w:w="1134" w:type="dxa"/>
            <w:tcBorders>
              <w:top w:val="single" w:sz="4" w:space="0" w:color="auto"/>
              <w:left w:val="single" w:sz="4" w:space="0" w:color="auto"/>
              <w:bottom w:val="single" w:sz="4" w:space="0" w:color="auto"/>
              <w:right w:val="single" w:sz="4" w:space="0" w:color="auto"/>
            </w:tcBorders>
            <w:shd w:val="clear" w:color="auto" w:fill="B3E1E8"/>
            <w:hideMark/>
          </w:tcPr>
          <w:p w14:paraId="5C678D7E" w14:textId="77777777" w:rsidR="00670DF6" w:rsidRPr="00670DF6" w:rsidRDefault="00670DF6" w:rsidP="00CC4F28">
            <w:pPr>
              <w:spacing w:after="120" w:line="264" w:lineRule="auto"/>
              <w:jc w:val="center"/>
              <w:rPr>
                <w:rFonts w:ascii="Calibri" w:eastAsia="Calibri" w:hAnsi="Calibri" w:cs="Calibri"/>
                <w:b/>
                <w:i/>
              </w:rPr>
            </w:pPr>
            <w:r w:rsidRPr="00670DF6">
              <w:rPr>
                <w:rFonts w:ascii="Calibri" w:eastAsia="Calibri" w:hAnsi="Calibri" w:cs="Calibri"/>
                <w:b/>
                <w:i/>
              </w:rPr>
              <w:t>72%</w:t>
            </w:r>
          </w:p>
        </w:tc>
        <w:tc>
          <w:tcPr>
            <w:tcW w:w="1134" w:type="dxa"/>
            <w:tcBorders>
              <w:top w:val="single" w:sz="4" w:space="0" w:color="auto"/>
              <w:left w:val="single" w:sz="4" w:space="0" w:color="auto"/>
              <w:bottom w:val="single" w:sz="4" w:space="0" w:color="auto"/>
              <w:right w:val="single" w:sz="4" w:space="0" w:color="auto"/>
            </w:tcBorders>
            <w:shd w:val="clear" w:color="auto" w:fill="B3E1E8"/>
            <w:hideMark/>
          </w:tcPr>
          <w:p w14:paraId="0BAC0014" w14:textId="77777777" w:rsidR="00670DF6" w:rsidRPr="00670DF6" w:rsidRDefault="00670DF6" w:rsidP="00CC4F28">
            <w:pPr>
              <w:spacing w:after="120" w:line="264" w:lineRule="auto"/>
              <w:jc w:val="center"/>
              <w:rPr>
                <w:rFonts w:ascii="Calibri" w:eastAsia="Calibri" w:hAnsi="Calibri" w:cs="Calibri"/>
                <w:bCs/>
                <w:i/>
              </w:rPr>
            </w:pPr>
            <w:r w:rsidRPr="00670DF6">
              <w:rPr>
                <w:rFonts w:ascii="Calibri" w:eastAsia="Calibri" w:hAnsi="Calibri" w:cs="Calibri"/>
                <w:bCs/>
                <w:i/>
              </w:rPr>
              <w:t>71%</w:t>
            </w:r>
          </w:p>
        </w:tc>
        <w:tc>
          <w:tcPr>
            <w:tcW w:w="992" w:type="dxa"/>
            <w:tcBorders>
              <w:top w:val="single" w:sz="4" w:space="0" w:color="auto"/>
              <w:left w:val="single" w:sz="4" w:space="0" w:color="auto"/>
              <w:bottom w:val="single" w:sz="4" w:space="0" w:color="auto"/>
              <w:right w:val="single" w:sz="4" w:space="0" w:color="auto"/>
            </w:tcBorders>
            <w:shd w:val="clear" w:color="auto" w:fill="B3E1E8"/>
            <w:hideMark/>
          </w:tcPr>
          <w:p w14:paraId="608BC8EB" w14:textId="77777777" w:rsidR="00670DF6" w:rsidRPr="00670DF6" w:rsidRDefault="00670DF6" w:rsidP="00CC4F28">
            <w:pPr>
              <w:spacing w:after="120" w:line="264" w:lineRule="auto"/>
              <w:jc w:val="center"/>
              <w:rPr>
                <w:rFonts w:ascii="Calibri" w:eastAsia="Calibri" w:hAnsi="Calibri" w:cs="Calibri"/>
                <w:bCs/>
                <w:i/>
              </w:rPr>
            </w:pPr>
            <w:r w:rsidRPr="00670DF6">
              <w:rPr>
                <w:rFonts w:ascii="Calibri" w:eastAsia="Calibri" w:hAnsi="Calibri" w:cs="Calibri"/>
                <w:bCs/>
                <w:i/>
              </w:rPr>
              <w:t>72%</w:t>
            </w:r>
          </w:p>
        </w:tc>
      </w:tr>
    </w:tbl>
    <w:p w14:paraId="59A699B0" w14:textId="77777777" w:rsidR="00670DF6" w:rsidRDefault="00670DF6" w:rsidP="00670DF6">
      <w:pPr>
        <w:spacing w:after="160" w:line="259" w:lineRule="auto"/>
        <w:rPr>
          <w:rFonts w:ascii="Calibri" w:eastAsia="Calibri" w:hAnsi="Calibri"/>
          <w:highlight w:val="yellow"/>
        </w:rPr>
      </w:pPr>
    </w:p>
    <w:p w14:paraId="02D6A6AF" w14:textId="18AA1E61" w:rsidR="0079175C" w:rsidRDefault="00670DF6" w:rsidP="00670DF6">
      <w:pPr>
        <w:spacing w:after="160" w:line="259" w:lineRule="auto"/>
        <w:rPr>
          <w:rFonts w:ascii="Calibri" w:eastAsia="Calibri" w:hAnsi="Calibri"/>
        </w:rPr>
      </w:pPr>
      <w:r w:rsidRPr="005B0724">
        <w:rPr>
          <w:rFonts w:ascii="Calibri" w:eastAsia="Calibri" w:hAnsi="Calibri"/>
        </w:rPr>
        <w:lastRenderedPageBreak/>
        <w:t xml:space="preserve">In looking at the public opinion, a clear majority </w:t>
      </w:r>
      <w:r>
        <w:rPr>
          <w:rFonts w:ascii="Calibri" w:eastAsia="Calibri" w:hAnsi="Calibri"/>
        </w:rPr>
        <w:t xml:space="preserve">(72%) </w:t>
      </w:r>
      <w:r w:rsidRPr="005B0724">
        <w:rPr>
          <w:rFonts w:ascii="Calibri" w:eastAsia="Calibri" w:hAnsi="Calibri"/>
        </w:rPr>
        <w:t xml:space="preserve">support an increase to the precept. It is worth noting that </w:t>
      </w:r>
      <w:r>
        <w:rPr>
          <w:rFonts w:ascii="Calibri" w:eastAsia="Calibri" w:hAnsi="Calibri"/>
        </w:rPr>
        <w:t>44</w:t>
      </w:r>
      <w:r w:rsidRPr="00C06E30">
        <w:rPr>
          <w:rFonts w:ascii="Calibri" w:eastAsia="Calibri" w:hAnsi="Calibri"/>
        </w:rPr>
        <w:t>% s</w:t>
      </w:r>
      <w:r w:rsidRPr="005B0724">
        <w:rPr>
          <w:rFonts w:ascii="Calibri" w:eastAsia="Calibri" w:hAnsi="Calibri"/>
        </w:rPr>
        <w:t>upport an increase that would be in excess of the referendum principles.</w:t>
      </w:r>
    </w:p>
    <w:p w14:paraId="515C3CCA" w14:textId="5A4073B8" w:rsidR="00670DF6" w:rsidRPr="00670DF6" w:rsidRDefault="00670DF6" w:rsidP="00670DF6">
      <w:pPr>
        <w:spacing w:after="160" w:line="259" w:lineRule="auto"/>
        <w:rPr>
          <w:rFonts w:ascii="Calibri" w:eastAsia="Calibri" w:hAnsi="Calibri"/>
        </w:rPr>
      </w:pPr>
      <w:r>
        <w:rPr>
          <w:rFonts w:ascii="Calibri" w:eastAsia="Calibri" w:hAnsi="Calibri"/>
        </w:rPr>
        <w:t>A proposal was made to the Police, Fire and Crime Panel</w:t>
      </w:r>
      <w:r w:rsidR="00840AA8">
        <w:rPr>
          <w:rFonts w:ascii="Calibri" w:eastAsia="Calibri" w:hAnsi="Calibri"/>
        </w:rPr>
        <w:t xml:space="preserve"> and</w:t>
      </w:r>
      <w:r w:rsidR="00E70A0A">
        <w:rPr>
          <w:rFonts w:ascii="Calibri" w:eastAsia="Calibri" w:hAnsi="Calibri"/>
        </w:rPr>
        <w:t>,</w:t>
      </w:r>
      <w:r w:rsidR="00840AA8">
        <w:rPr>
          <w:rFonts w:ascii="Calibri" w:eastAsia="Calibri" w:hAnsi="Calibri"/>
        </w:rPr>
        <w:t xml:space="preserve"> at a public meeting on 5 February 2021</w:t>
      </w:r>
      <w:r w:rsidR="00E70A0A">
        <w:rPr>
          <w:rFonts w:ascii="Calibri" w:eastAsia="Calibri" w:hAnsi="Calibri"/>
        </w:rPr>
        <w:t>,</w:t>
      </w:r>
      <w:r w:rsidR="00840AA8">
        <w:rPr>
          <w:rFonts w:ascii="Calibri" w:eastAsia="Calibri" w:hAnsi="Calibri"/>
        </w:rPr>
        <w:t xml:space="preserve"> </w:t>
      </w:r>
      <w:r w:rsidR="00E70A0A">
        <w:rPr>
          <w:rFonts w:ascii="Calibri" w:eastAsia="Calibri" w:hAnsi="Calibri"/>
        </w:rPr>
        <w:t xml:space="preserve">the Panel agreed with the Commissioner’s proposal </w:t>
      </w:r>
      <w:r w:rsidR="00840AA8">
        <w:rPr>
          <w:rFonts w:ascii="Calibri" w:eastAsia="Calibri" w:hAnsi="Calibri"/>
        </w:rPr>
        <w:t>for a Fire precept for 2021/22</w:t>
      </w:r>
      <w:r w:rsidR="00840AA8" w:rsidRPr="00121A38">
        <w:rPr>
          <w:rFonts w:ascii="Calibri" w:eastAsia="Calibri" w:hAnsi="Calibri"/>
        </w:rPr>
        <w:t xml:space="preserve"> of £</w:t>
      </w:r>
      <w:r w:rsidR="00840AA8">
        <w:rPr>
          <w:rFonts w:ascii="Calibri" w:eastAsia="Calibri" w:hAnsi="Calibri"/>
        </w:rPr>
        <w:t>74.14</w:t>
      </w:r>
      <w:r w:rsidR="00840AA8" w:rsidRPr="00121A38">
        <w:rPr>
          <w:rFonts w:ascii="Calibri" w:eastAsia="Calibri" w:hAnsi="Calibri"/>
        </w:rPr>
        <w:t xml:space="preserve"> for a Band D property within North Yorkshire. This would be an increase of </w:t>
      </w:r>
      <w:r w:rsidR="00840AA8">
        <w:rPr>
          <w:rFonts w:ascii="Calibri" w:eastAsia="Calibri" w:hAnsi="Calibri"/>
        </w:rPr>
        <w:t>1.99% (or £1.45)</w:t>
      </w:r>
      <w:r w:rsidR="00840AA8" w:rsidRPr="00121A38">
        <w:rPr>
          <w:rFonts w:ascii="Calibri" w:eastAsia="Calibri" w:hAnsi="Calibri"/>
        </w:rPr>
        <w:t xml:space="preserve"> per annum, from the 20</w:t>
      </w:r>
      <w:r w:rsidR="00840AA8">
        <w:rPr>
          <w:rFonts w:ascii="Calibri" w:eastAsia="Calibri" w:hAnsi="Calibri"/>
        </w:rPr>
        <w:t>20/21</w:t>
      </w:r>
      <w:r w:rsidR="00840AA8" w:rsidRPr="00121A38">
        <w:rPr>
          <w:rFonts w:ascii="Calibri" w:eastAsia="Calibri" w:hAnsi="Calibri"/>
        </w:rPr>
        <w:t xml:space="preserve"> level.</w:t>
      </w:r>
      <w:r w:rsidR="00840AA8">
        <w:rPr>
          <w:rFonts w:ascii="Calibri" w:eastAsia="Calibri" w:hAnsi="Calibri"/>
        </w:rPr>
        <w:t xml:space="preserve"> </w:t>
      </w:r>
    </w:p>
    <w:p w14:paraId="7FC53DD2" w14:textId="77777777" w:rsidR="004D4DF8" w:rsidRPr="004D4DF8" w:rsidRDefault="004D4DF8" w:rsidP="0079175C">
      <w:pPr>
        <w:pStyle w:val="Heading2"/>
      </w:pPr>
      <w:r>
        <w:t>Decision Record</w:t>
      </w:r>
    </w:p>
    <w:p w14:paraId="751DDDDE" w14:textId="165C834A" w:rsidR="00670DF6" w:rsidRPr="00121A38" w:rsidRDefault="00670DF6" w:rsidP="00670DF6">
      <w:pPr>
        <w:spacing w:after="160" w:line="259" w:lineRule="auto"/>
        <w:rPr>
          <w:rFonts w:ascii="Calibri" w:eastAsia="Calibri" w:hAnsi="Calibri"/>
        </w:rPr>
      </w:pPr>
      <w:r w:rsidRPr="00121A38">
        <w:rPr>
          <w:rFonts w:ascii="Calibri" w:eastAsia="Calibri" w:hAnsi="Calibri"/>
        </w:rPr>
        <w:t xml:space="preserve">The </w:t>
      </w:r>
      <w:r w:rsidR="00840AA8">
        <w:rPr>
          <w:rFonts w:ascii="Calibri" w:eastAsia="Calibri" w:hAnsi="Calibri"/>
        </w:rPr>
        <w:t>Commissioner</w:t>
      </w:r>
      <w:r w:rsidRPr="00121A38">
        <w:rPr>
          <w:rFonts w:ascii="Calibri" w:eastAsia="Calibri" w:hAnsi="Calibri"/>
        </w:rPr>
        <w:t xml:space="preserve">, having consulted with the public and taken their opinion on board, has reviewed the advice of her officers </w:t>
      </w:r>
      <w:r>
        <w:rPr>
          <w:rFonts w:ascii="Calibri" w:eastAsia="Calibri" w:hAnsi="Calibri"/>
        </w:rPr>
        <w:t>in relation to</w:t>
      </w:r>
      <w:r w:rsidRPr="00121A38">
        <w:rPr>
          <w:rFonts w:ascii="Calibri" w:eastAsia="Calibri" w:hAnsi="Calibri"/>
        </w:rPr>
        <w:t xml:space="preserve"> the </w:t>
      </w:r>
      <w:r>
        <w:rPr>
          <w:rFonts w:ascii="Calibri" w:eastAsia="Calibri" w:hAnsi="Calibri"/>
        </w:rPr>
        <w:t xml:space="preserve">current </w:t>
      </w:r>
      <w:r w:rsidRPr="00121A38">
        <w:rPr>
          <w:rFonts w:ascii="Calibri" w:eastAsia="Calibri" w:hAnsi="Calibri"/>
        </w:rPr>
        <w:t xml:space="preserve">financial position </w:t>
      </w:r>
      <w:r>
        <w:rPr>
          <w:rFonts w:ascii="Calibri" w:eastAsia="Calibri" w:hAnsi="Calibri"/>
        </w:rPr>
        <w:t>of the Fire Service and the service’s need for an increase in funding to balance the current budget.</w:t>
      </w:r>
    </w:p>
    <w:p w14:paraId="4CE18E9C" w14:textId="21086009" w:rsidR="00253D90" w:rsidRDefault="00670DF6" w:rsidP="00670DF6">
      <w:r w:rsidRPr="00121A38">
        <w:rPr>
          <w:rFonts w:ascii="Calibri" w:eastAsia="Calibri" w:hAnsi="Calibri"/>
        </w:rPr>
        <w:t xml:space="preserve">With this in mind, the </w:t>
      </w:r>
      <w:r w:rsidR="00840AA8">
        <w:rPr>
          <w:rFonts w:ascii="Calibri" w:eastAsia="Calibri" w:hAnsi="Calibri"/>
        </w:rPr>
        <w:t>Commissioner</w:t>
      </w:r>
      <w:r w:rsidRPr="00121A38">
        <w:rPr>
          <w:rFonts w:ascii="Calibri" w:eastAsia="Calibri" w:hAnsi="Calibri"/>
        </w:rPr>
        <w:t xml:space="preserve"> </w:t>
      </w:r>
      <w:r w:rsidR="00883EA1">
        <w:rPr>
          <w:rFonts w:ascii="Calibri" w:eastAsia="Calibri" w:hAnsi="Calibri"/>
        </w:rPr>
        <w:t>decided to propose</w:t>
      </w:r>
      <w:r>
        <w:rPr>
          <w:rFonts w:ascii="Calibri" w:eastAsia="Calibri" w:hAnsi="Calibri"/>
        </w:rPr>
        <w:t xml:space="preserve"> to the Police, Fire and Crime Pane</w:t>
      </w:r>
      <w:r w:rsidRPr="00121A38">
        <w:rPr>
          <w:rFonts w:ascii="Calibri" w:eastAsia="Calibri" w:hAnsi="Calibri"/>
        </w:rPr>
        <w:t xml:space="preserve">l a </w:t>
      </w:r>
      <w:r>
        <w:rPr>
          <w:rFonts w:ascii="Calibri" w:eastAsia="Calibri" w:hAnsi="Calibri"/>
        </w:rPr>
        <w:t>Fire precept for 2021/22</w:t>
      </w:r>
      <w:r w:rsidRPr="00121A38">
        <w:rPr>
          <w:rFonts w:ascii="Calibri" w:eastAsia="Calibri" w:hAnsi="Calibri"/>
        </w:rPr>
        <w:t xml:space="preserve"> of £</w:t>
      </w:r>
      <w:r>
        <w:rPr>
          <w:rFonts w:ascii="Calibri" w:eastAsia="Calibri" w:hAnsi="Calibri"/>
        </w:rPr>
        <w:t>74.14</w:t>
      </w:r>
      <w:r w:rsidRPr="00121A38">
        <w:rPr>
          <w:rFonts w:ascii="Calibri" w:eastAsia="Calibri" w:hAnsi="Calibri"/>
        </w:rPr>
        <w:t xml:space="preserve"> for a Band D property within North Yorkshire. This would be an increase of </w:t>
      </w:r>
      <w:r>
        <w:rPr>
          <w:rFonts w:ascii="Calibri" w:eastAsia="Calibri" w:hAnsi="Calibri"/>
        </w:rPr>
        <w:t>1.99% (or £1.45)</w:t>
      </w:r>
      <w:r w:rsidRPr="00121A38">
        <w:rPr>
          <w:rFonts w:ascii="Calibri" w:eastAsia="Calibri" w:hAnsi="Calibri"/>
        </w:rPr>
        <w:t xml:space="preserve"> per annum, from the 20</w:t>
      </w:r>
      <w:r>
        <w:rPr>
          <w:rFonts w:ascii="Calibri" w:eastAsia="Calibri" w:hAnsi="Calibri"/>
        </w:rPr>
        <w:t>20/21</w:t>
      </w:r>
      <w:r w:rsidRPr="00121A38">
        <w:rPr>
          <w:rFonts w:ascii="Calibri" w:eastAsia="Calibri" w:hAnsi="Calibri"/>
        </w:rPr>
        <w:t xml:space="preserve"> level.</w:t>
      </w:r>
      <w:r w:rsidR="00840AA8">
        <w:rPr>
          <w:rFonts w:ascii="Calibri" w:eastAsia="Calibri" w:hAnsi="Calibri"/>
        </w:rPr>
        <w:t xml:space="preserve"> The Panel have agreed to this proposal and therefore the Commissioner has set the precept accordingly.</w:t>
      </w:r>
    </w:p>
    <w:p w14:paraId="0428E80B" w14:textId="77777777" w:rsidR="00253D90" w:rsidRPr="00253D90" w:rsidRDefault="00253D90" w:rsidP="00253D90">
      <w:pPr>
        <w:rPr>
          <w:sz w:val="22"/>
        </w:rPr>
      </w:pPr>
      <w:r>
        <w:rPr>
          <w:noProof/>
        </w:rPr>
        <w:drawing>
          <wp:inline distT="0" distB="0" distL="0" distR="0" wp14:anchorId="4B656556" wp14:editId="0BED7221">
            <wp:extent cx="22955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JM.jpg"/>
                    <pic:cNvPicPr/>
                  </pic:nvPicPr>
                  <pic:blipFill>
                    <a:blip r:embed="rId11">
                      <a:extLst>
                        <a:ext uri="{28A0092B-C50C-407E-A947-70E740481C1C}">
                          <a14:useLocalDpi xmlns:a14="http://schemas.microsoft.com/office/drawing/2010/main" val="0"/>
                        </a:ext>
                      </a:extLst>
                    </a:blip>
                    <a:stretch>
                      <a:fillRect/>
                    </a:stretch>
                  </pic:blipFill>
                  <pic:spPr>
                    <a:xfrm>
                      <a:off x="0" y="0"/>
                      <a:ext cx="2295525" cy="828675"/>
                    </a:xfrm>
                    <a:prstGeom prst="rect">
                      <a:avLst/>
                    </a:prstGeom>
                  </pic:spPr>
                </pic:pic>
              </a:graphicData>
            </a:graphic>
          </wp:inline>
        </w:drawing>
      </w:r>
    </w:p>
    <w:p w14:paraId="305A9AA8" w14:textId="77777777" w:rsidR="00253D90" w:rsidRPr="0079175C" w:rsidRDefault="00253D90" w:rsidP="00253D90">
      <w:pPr>
        <w:pStyle w:val="NoSpacing"/>
        <w:rPr>
          <w:szCs w:val="24"/>
        </w:rPr>
      </w:pPr>
      <w:r w:rsidRPr="0079175C">
        <w:rPr>
          <w:szCs w:val="24"/>
        </w:rPr>
        <w:t>Julia Mulligan</w:t>
      </w:r>
    </w:p>
    <w:p w14:paraId="1EEBDC66" w14:textId="77777777" w:rsidR="00253D90" w:rsidRPr="0079175C" w:rsidRDefault="606AFDE9" w:rsidP="606AFDE9">
      <w:pPr>
        <w:pStyle w:val="NoSpacing"/>
        <w:rPr>
          <w:szCs w:val="24"/>
        </w:rPr>
      </w:pPr>
      <w:r w:rsidRPr="0079175C">
        <w:rPr>
          <w:szCs w:val="24"/>
        </w:rPr>
        <w:t>Police, Fire and Crime Commissioner for North Yorkshire</w:t>
      </w:r>
    </w:p>
    <w:p w14:paraId="2CB36883" w14:textId="1E59B2F5" w:rsidR="007A5CBE" w:rsidRPr="004D4DF8" w:rsidRDefault="007A5CBE" w:rsidP="0079175C">
      <w:pPr>
        <w:pStyle w:val="Heading2"/>
      </w:pPr>
      <w:r>
        <w:t>Statutory Officer Advic</w:t>
      </w:r>
      <w:r w:rsidR="00670DF6">
        <w:t>e</w:t>
      </w:r>
    </w:p>
    <w:p w14:paraId="79BD42E7" w14:textId="77777777" w:rsidR="00082980" w:rsidRDefault="007A5CBE" w:rsidP="0079175C">
      <w:pPr>
        <w:pStyle w:val="Heading3"/>
      </w:pPr>
      <w:r w:rsidRPr="00082980">
        <w:t>Legal, Management and Equality Implications</w:t>
      </w:r>
    </w:p>
    <w:p w14:paraId="175BCF16" w14:textId="23BAAA5F" w:rsidR="00082980" w:rsidRPr="00082980" w:rsidRDefault="00670DF6" w:rsidP="00670DF6">
      <w:pPr>
        <w:rPr>
          <w:sz w:val="22"/>
        </w:rPr>
      </w:pPr>
      <w:r w:rsidRPr="00670DF6">
        <w:t>The Commissioner’s Assistant Chief Executive and Deputy Monitoring Officer, on behalf of the Commissioner’s Chief Executive and Monitoring Officer, having read this report and having considered such information as has been provided at the time of being asked to express this view, is satisfied that this report does not ask the Commissioner to make a decision which would (or would be likely to) give rise to a contravention of the law.</w:t>
      </w:r>
    </w:p>
    <w:p w14:paraId="38242B47" w14:textId="77777777" w:rsidR="00082980" w:rsidRPr="00412703" w:rsidRDefault="00082980" w:rsidP="0079175C">
      <w:pPr>
        <w:pStyle w:val="Heading3"/>
      </w:pPr>
      <w:r w:rsidRPr="00412703">
        <w:t>Financial and Commercial</w:t>
      </w:r>
    </w:p>
    <w:p w14:paraId="31D89B70" w14:textId="18D3B5C4" w:rsidR="00670DF6" w:rsidRDefault="606AFDE9" w:rsidP="00670DF6">
      <w:pPr>
        <w:spacing w:after="160" w:line="259" w:lineRule="auto"/>
        <w:rPr>
          <w:rFonts w:ascii="Calibri" w:eastAsia="Calibri" w:hAnsi="Calibri"/>
        </w:rPr>
      </w:pPr>
      <w:r w:rsidRPr="606AFDE9">
        <w:t xml:space="preserve">The </w:t>
      </w:r>
      <w:r w:rsidR="00FC71B0">
        <w:t>Commissioner</w:t>
      </w:r>
      <w:r w:rsidRPr="606AFDE9">
        <w:t xml:space="preserve">’s Chief Finance Officer and S151 Officer has advised that </w:t>
      </w:r>
      <w:r w:rsidR="00670DF6" w:rsidRPr="00121A38">
        <w:rPr>
          <w:rFonts w:ascii="Calibri" w:eastAsia="Calibri" w:hAnsi="Calibri"/>
        </w:rPr>
        <w:t xml:space="preserve">the financial implications of this Decision are set out in the Executive Summary and/or the attached report. The decision will ensure that the </w:t>
      </w:r>
      <w:r w:rsidR="00840AA8">
        <w:rPr>
          <w:rFonts w:ascii="Calibri" w:eastAsia="Calibri" w:hAnsi="Calibri"/>
        </w:rPr>
        <w:t>Commissioner</w:t>
      </w:r>
      <w:r w:rsidR="00670DF6" w:rsidRPr="00121A38">
        <w:rPr>
          <w:rFonts w:ascii="Calibri" w:eastAsia="Calibri" w:hAnsi="Calibri"/>
        </w:rPr>
        <w:t xml:space="preserve"> meets her legislative requirements in relation with the</w:t>
      </w:r>
      <w:r w:rsidR="00670DF6">
        <w:rPr>
          <w:rFonts w:ascii="Calibri" w:eastAsia="Calibri" w:hAnsi="Calibri"/>
        </w:rPr>
        <w:t xml:space="preserve"> Fire</w:t>
      </w:r>
      <w:r w:rsidR="00670DF6" w:rsidRPr="00121A38">
        <w:rPr>
          <w:rFonts w:ascii="Calibri" w:eastAsia="Calibri" w:hAnsi="Calibri"/>
        </w:rPr>
        <w:t xml:space="preserve"> element of the precept</w:t>
      </w:r>
      <w:r w:rsidR="00670DF6">
        <w:rPr>
          <w:rFonts w:ascii="Calibri" w:eastAsia="Calibri" w:hAnsi="Calibri"/>
        </w:rPr>
        <w:t xml:space="preserve">. </w:t>
      </w:r>
    </w:p>
    <w:p w14:paraId="5DCFF0ED" w14:textId="2BCB21C6" w:rsidR="00670DF6" w:rsidRPr="00535386" w:rsidRDefault="00670DF6" w:rsidP="00670DF6">
      <w:pPr>
        <w:spacing w:after="160" w:line="259" w:lineRule="auto"/>
        <w:rPr>
          <w:rFonts w:ascii="Calibri" w:eastAsia="Calibri" w:hAnsi="Calibri"/>
        </w:rPr>
      </w:pPr>
      <w:r>
        <w:rPr>
          <w:rFonts w:ascii="Calibri" w:eastAsia="Calibri" w:hAnsi="Calibri"/>
        </w:rPr>
        <w:t xml:space="preserve">The CFO would like to bring the following to the attention of the </w:t>
      </w:r>
      <w:r w:rsidR="00840AA8">
        <w:rPr>
          <w:rFonts w:ascii="Calibri" w:eastAsia="Calibri" w:hAnsi="Calibri"/>
        </w:rPr>
        <w:t>Commissioner</w:t>
      </w:r>
      <w:r>
        <w:rPr>
          <w:rFonts w:ascii="Calibri" w:eastAsia="Calibri" w:hAnsi="Calibri"/>
        </w:rPr>
        <w:t xml:space="preserve"> in making this decision:</w:t>
      </w:r>
    </w:p>
    <w:p w14:paraId="0D5A9AC1" w14:textId="19C61966" w:rsidR="00670DF6" w:rsidRDefault="00670DF6" w:rsidP="00670DF6">
      <w:pPr>
        <w:pStyle w:val="ListParagraph"/>
        <w:numPr>
          <w:ilvl w:val="0"/>
          <w:numId w:val="17"/>
        </w:numPr>
        <w:spacing w:after="160" w:line="259" w:lineRule="auto"/>
        <w:contextualSpacing/>
        <w:rPr>
          <w:rFonts w:ascii="Calibri" w:eastAsia="Calibri" w:hAnsi="Calibri"/>
        </w:rPr>
      </w:pPr>
      <w:r w:rsidRPr="00535386">
        <w:rPr>
          <w:rFonts w:ascii="Calibri" w:eastAsia="Calibri" w:hAnsi="Calibri"/>
        </w:rPr>
        <w:t xml:space="preserve">The </w:t>
      </w:r>
      <w:r w:rsidR="00840AA8">
        <w:rPr>
          <w:rFonts w:ascii="Calibri" w:eastAsia="Calibri" w:hAnsi="Calibri"/>
        </w:rPr>
        <w:t>Commissioner</w:t>
      </w:r>
      <w:r w:rsidRPr="00535386">
        <w:rPr>
          <w:rFonts w:ascii="Calibri" w:eastAsia="Calibri" w:hAnsi="Calibri"/>
        </w:rPr>
        <w:t xml:space="preserve"> inherited a Medium Term Financial Plan (MTFP) from the former Fire Authority that had an underlying £1.2m annual imbalance</w:t>
      </w:r>
      <w:r>
        <w:rPr>
          <w:rFonts w:ascii="Calibri" w:eastAsia="Calibri" w:hAnsi="Calibri"/>
        </w:rPr>
        <w:t>,</w:t>
      </w:r>
      <w:r w:rsidRPr="00535386">
        <w:rPr>
          <w:rFonts w:ascii="Calibri" w:eastAsia="Calibri" w:hAnsi="Calibri"/>
        </w:rPr>
        <w:t xml:space="preserve"> and organisational plans that would have seen this</w:t>
      </w:r>
      <w:r>
        <w:rPr>
          <w:rFonts w:ascii="Calibri" w:eastAsia="Calibri" w:hAnsi="Calibri"/>
        </w:rPr>
        <w:t xml:space="preserve"> imbalance</w:t>
      </w:r>
      <w:r w:rsidRPr="00535386">
        <w:rPr>
          <w:rFonts w:ascii="Calibri" w:eastAsia="Calibri" w:hAnsi="Calibri"/>
        </w:rPr>
        <w:t xml:space="preserve"> increase to at least £2.5m across the life of that 4 year plan. </w:t>
      </w:r>
      <w:r>
        <w:rPr>
          <w:rFonts w:ascii="Calibri" w:eastAsia="Calibri" w:hAnsi="Calibri"/>
        </w:rPr>
        <w:t xml:space="preserve">A significant amount of </w:t>
      </w:r>
      <w:r w:rsidRPr="00535386">
        <w:rPr>
          <w:rFonts w:ascii="Calibri" w:eastAsia="Calibri" w:hAnsi="Calibri"/>
        </w:rPr>
        <w:t xml:space="preserve">work has been done to stabilise the financial position of the organisation </w:t>
      </w:r>
      <w:r>
        <w:rPr>
          <w:rFonts w:ascii="Calibri" w:eastAsia="Calibri" w:hAnsi="Calibri"/>
        </w:rPr>
        <w:t xml:space="preserve">since the transfer of Governance and it is now forecast that the </w:t>
      </w:r>
      <w:r w:rsidR="00840AA8">
        <w:rPr>
          <w:rFonts w:ascii="Calibri" w:eastAsia="Calibri" w:hAnsi="Calibri"/>
        </w:rPr>
        <w:t>Commissioner</w:t>
      </w:r>
      <w:r>
        <w:rPr>
          <w:rFonts w:ascii="Calibri" w:eastAsia="Calibri" w:hAnsi="Calibri"/>
        </w:rPr>
        <w:t xml:space="preserve"> will set a balanced MTFP for the next 4 years with only a small reliance on reserves to balance the budget. This has predominantly resulted from additional COVID grants that have been received in 2020/21 but will be used beyond that financial year. </w:t>
      </w:r>
    </w:p>
    <w:p w14:paraId="6E9A80A1" w14:textId="2BAEB8D1" w:rsidR="00857BE6" w:rsidRPr="00670DF6" w:rsidRDefault="00670DF6" w:rsidP="00670DF6">
      <w:pPr>
        <w:pStyle w:val="ListParagraph"/>
        <w:numPr>
          <w:ilvl w:val="0"/>
          <w:numId w:val="17"/>
        </w:numPr>
        <w:spacing w:after="160" w:line="259" w:lineRule="auto"/>
        <w:contextualSpacing/>
        <w:rPr>
          <w:rFonts w:ascii="Calibri" w:eastAsia="Calibri" w:hAnsi="Calibri"/>
        </w:rPr>
      </w:pPr>
      <w:r w:rsidRPr="00AD0CA6">
        <w:rPr>
          <w:rFonts w:ascii="Calibri" w:eastAsia="Calibri" w:hAnsi="Calibri"/>
        </w:rPr>
        <w:lastRenderedPageBreak/>
        <w:t xml:space="preserve">This proposed Precept increase unfortunately does little to address the underlying need to invest in the Fire Service where there is a real need for investment in its estate and fleet which are outdated and in great need of repair, and to improve prevention work across the county to make the people of North Yorkshire safer. </w:t>
      </w:r>
      <w:r>
        <w:rPr>
          <w:rFonts w:ascii="Calibri" w:eastAsia="Calibri" w:hAnsi="Calibri"/>
        </w:rPr>
        <w:t>Progress has been made in terms of developing savings to invest in the estate however this will be a slow process without additional investment.</w:t>
      </w:r>
    </w:p>
    <w:sectPr w:rsidR="00857BE6" w:rsidRPr="00670DF6" w:rsidSect="00634712">
      <w:headerReference w:type="default" r:id="rId12"/>
      <w:pgSz w:w="11906" w:h="16838"/>
      <w:pgMar w:top="993" w:right="1134"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AF15A" w14:textId="77777777" w:rsidR="00D27A79" w:rsidRDefault="00D27A79" w:rsidP="00647D5A">
      <w:r>
        <w:separator/>
      </w:r>
    </w:p>
  </w:endnote>
  <w:endnote w:type="continuationSeparator" w:id="0">
    <w:p w14:paraId="64A87319" w14:textId="77777777" w:rsidR="00D27A79" w:rsidRDefault="00D27A79" w:rsidP="0064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EF4D" w14:textId="77777777" w:rsidR="00D27A79" w:rsidRDefault="00D27A79" w:rsidP="00647D5A">
      <w:r>
        <w:separator/>
      </w:r>
    </w:p>
  </w:footnote>
  <w:footnote w:type="continuationSeparator" w:id="0">
    <w:p w14:paraId="1F78847A" w14:textId="77777777" w:rsidR="00D27A79" w:rsidRDefault="00D27A79" w:rsidP="0064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85F9" w14:textId="77777777" w:rsidR="00647D5A" w:rsidRDefault="00647D5A" w:rsidP="00647D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9BF"/>
    <w:multiLevelType w:val="hybridMultilevel"/>
    <w:tmpl w:val="43D0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715C0"/>
    <w:multiLevelType w:val="hybridMultilevel"/>
    <w:tmpl w:val="5962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234A6"/>
    <w:multiLevelType w:val="hybridMultilevel"/>
    <w:tmpl w:val="1FD2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54D06"/>
    <w:multiLevelType w:val="hybridMultilevel"/>
    <w:tmpl w:val="A2AE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E34AE"/>
    <w:multiLevelType w:val="hybridMultilevel"/>
    <w:tmpl w:val="462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43477"/>
    <w:multiLevelType w:val="hybridMultilevel"/>
    <w:tmpl w:val="C90E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B484E"/>
    <w:multiLevelType w:val="hybridMultilevel"/>
    <w:tmpl w:val="FDC4D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EB3D52"/>
    <w:multiLevelType w:val="hybridMultilevel"/>
    <w:tmpl w:val="736C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27191"/>
    <w:multiLevelType w:val="hybridMultilevel"/>
    <w:tmpl w:val="290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35A7A"/>
    <w:multiLevelType w:val="hybridMultilevel"/>
    <w:tmpl w:val="85C4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F2629"/>
    <w:multiLevelType w:val="hybridMultilevel"/>
    <w:tmpl w:val="64E4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9713A"/>
    <w:multiLevelType w:val="hybridMultilevel"/>
    <w:tmpl w:val="03D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64EAE"/>
    <w:multiLevelType w:val="hybridMultilevel"/>
    <w:tmpl w:val="71A2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731D5"/>
    <w:multiLevelType w:val="hybridMultilevel"/>
    <w:tmpl w:val="F97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F76EF"/>
    <w:multiLevelType w:val="hybridMultilevel"/>
    <w:tmpl w:val="17A6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F39AD"/>
    <w:multiLevelType w:val="hybridMultilevel"/>
    <w:tmpl w:val="B74E9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0D54BB"/>
    <w:multiLevelType w:val="hybridMultilevel"/>
    <w:tmpl w:val="9A5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11"/>
  </w:num>
  <w:num w:numId="5">
    <w:abstractNumId w:val="4"/>
  </w:num>
  <w:num w:numId="6">
    <w:abstractNumId w:val="9"/>
  </w:num>
  <w:num w:numId="7">
    <w:abstractNumId w:val="1"/>
  </w:num>
  <w:num w:numId="8">
    <w:abstractNumId w:val="6"/>
  </w:num>
  <w:num w:numId="9">
    <w:abstractNumId w:val="13"/>
  </w:num>
  <w:num w:numId="10">
    <w:abstractNumId w:val="16"/>
  </w:num>
  <w:num w:numId="11">
    <w:abstractNumId w:val="2"/>
  </w:num>
  <w:num w:numId="12">
    <w:abstractNumId w:val="14"/>
  </w:num>
  <w:num w:numId="13">
    <w:abstractNumId w:val="5"/>
  </w:num>
  <w:num w:numId="14">
    <w:abstractNumId w:val="10"/>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F6"/>
    <w:rsid w:val="00006408"/>
    <w:rsid w:val="000129F4"/>
    <w:rsid w:val="000146E6"/>
    <w:rsid w:val="00023D45"/>
    <w:rsid w:val="000465ED"/>
    <w:rsid w:val="00076552"/>
    <w:rsid w:val="0007680C"/>
    <w:rsid w:val="00082980"/>
    <w:rsid w:val="000A1390"/>
    <w:rsid w:val="000A6CD0"/>
    <w:rsid w:val="000B191A"/>
    <w:rsid w:val="000C2873"/>
    <w:rsid w:val="000C31B3"/>
    <w:rsid w:val="000E30BF"/>
    <w:rsid w:val="00100AB1"/>
    <w:rsid w:val="0010560D"/>
    <w:rsid w:val="00110345"/>
    <w:rsid w:val="00113271"/>
    <w:rsid w:val="00123303"/>
    <w:rsid w:val="0013058A"/>
    <w:rsid w:val="001769C6"/>
    <w:rsid w:val="00176D91"/>
    <w:rsid w:val="001A08C7"/>
    <w:rsid w:val="001C33A3"/>
    <w:rsid w:val="001C7C71"/>
    <w:rsid w:val="001D2EF5"/>
    <w:rsid w:val="001E4AA8"/>
    <w:rsid w:val="001F02BE"/>
    <w:rsid w:val="001F7546"/>
    <w:rsid w:val="002106E8"/>
    <w:rsid w:val="002166D6"/>
    <w:rsid w:val="00226D68"/>
    <w:rsid w:val="0023289C"/>
    <w:rsid w:val="00236C23"/>
    <w:rsid w:val="00243F92"/>
    <w:rsid w:val="002458BF"/>
    <w:rsid w:val="00253D90"/>
    <w:rsid w:val="002906AA"/>
    <w:rsid w:val="002954BB"/>
    <w:rsid w:val="002A061E"/>
    <w:rsid w:val="002A7446"/>
    <w:rsid w:val="002B3A5F"/>
    <w:rsid w:val="002B4F2D"/>
    <w:rsid w:val="002B693E"/>
    <w:rsid w:val="002C58DE"/>
    <w:rsid w:val="002F7713"/>
    <w:rsid w:val="00301C89"/>
    <w:rsid w:val="00302E18"/>
    <w:rsid w:val="00305188"/>
    <w:rsid w:val="00311602"/>
    <w:rsid w:val="00320031"/>
    <w:rsid w:val="003241AF"/>
    <w:rsid w:val="003558CF"/>
    <w:rsid w:val="00355959"/>
    <w:rsid w:val="00372AEC"/>
    <w:rsid w:val="0038174E"/>
    <w:rsid w:val="0038719C"/>
    <w:rsid w:val="00395166"/>
    <w:rsid w:val="003A3880"/>
    <w:rsid w:val="003B1BE6"/>
    <w:rsid w:val="003B6A5E"/>
    <w:rsid w:val="003C0C66"/>
    <w:rsid w:val="003D6032"/>
    <w:rsid w:val="003E2C27"/>
    <w:rsid w:val="003F550F"/>
    <w:rsid w:val="00411368"/>
    <w:rsid w:val="00412703"/>
    <w:rsid w:val="0042451A"/>
    <w:rsid w:val="00425DDC"/>
    <w:rsid w:val="00426D06"/>
    <w:rsid w:val="004310DC"/>
    <w:rsid w:val="004324BA"/>
    <w:rsid w:val="00437D67"/>
    <w:rsid w:val="00447261"/>
    <w:rsid w:val="00454669"/>
    <w:rsid w:val="00467226"/>
    <w:rsid w:val="00467816"/>
    <w:rsid w:val="004861B4"/>
    <w:rsid w:val="00497B84"/>
    <w:rsid w:val="004A5816"/>
    <w:rsid w:val="004C4C32"/>
    <w:rsid w:val="004C507E"/>
    <w:rsid w:val="004C62C4"/>
    <w:rsid w:val="004C7AA6"/>
    <w:rsid w:val="004D1F8F"/>
    <w:rsid w:val="004D4DF8"/>
    <w:rsid w:val="004E0FBE"/>
    <w:rsid w:val="004E2DF3"/>
    <w:rsid w:val="004F0FEB"/>
    <w:rsid w:val="0051098A"/>
    <w:rsid w:val="00525668"/>
    <w:rsid w:val="00533487"/>
    <w:rsid w:val="0054315A"/>
    <w:rsid w:val="0056583A"/>
    <w:rsid w:val="00572099"/>
    <w:rsid w:val="00597ADE"/>
    <w:rsid w:val="005B7945"/>
    <w:rsid w:val="005C129A"/>
    <w:rsid w:val="005C1B2B"/>
    <w:rsid w:val="005C21C3"/>
    <w:rsid w:val="005C2639"/>
    <w:rsid w:val="005D4C06"/>
    <w:rsid w:val="006141D4"/>
    <w:rsid w:val="00620CBB"/>
    <w:rsid w:val="006214FC"/>
    <w:rsid w:val="00634712"/>
    <w:rsid w:val="00642D32"/>
    <w:rsid w:val="00647D5A"/>
    <w:rsid w:val="006709BD"/>
    <w:rsid w:val="00670DF6"/>
    <w:rsid w:val="00683D77"/>
    <w:rsid w:val="006B2016"/>
    <w:rsid w:val="006B3C40"/>
    <w:rsid w:val="006B69C8"/>
    <w:rsid w:val="006C694C"/>
    <w:rsid w:val="006D2CC0"/>
    <w:rsid w:val="006D4FB2"/>
    <w:rsid w:val="006E4C55"/>
    <w:rsid w:val="0072221B"/>
    <w:rsid w:val="00722585"/>
    <w:rsid w:val="00766DF5"/>
    <w:rsid w:val="0079175C"/>
    <w:rsid w:val="007971BD"/>
    <w:rsid w:val="007A5CBE"/>
    <w:rsid w:val="007B4EDC"/>
    <w:rsid w:val="007E12A3"/>
    <w:rsid w:val="007F220A"/>
    <w:rsid w:val="008140A0"/>
    <w:rsid w:val="00815390"/>
    <w:rsid w:val="00831806"/>
    <w:rsid w:val="00833B5B"/>
    <w:rsid w:val="00840AA8"/>
    <w:rsid w:val="00857BE6"/>
    <w:rsid w:val="008659E9"/>
    <w:rsid w:val="00867E0E"/>
    <w:rsid w:val="008811F3"/>
    <w:rsid w:val="00883EA1"/>
    <w:rsid w:val="00885435"/>
    <w:rsid w:val="008A6F75"/>
    <w:rsid w:val="008D0038"/>
    <w:rsid w:val="008D5793"/>
    <w:rsid w:val="008F3AF2"/>
    <w:rsid w:val="00900720"/>
    <w:rsid w:val="009073B5"/>
    <w:rsid w:val="009142D1"/>
    <w:rsid w:val="0091703F"/>
    <w:rsid w:val="009405A9"/>
    <w:rsid w:val="009446ED"/>
    <w:rsid w:val="009451B6"/>
    <w:rsid w:val="009626BD"/>
    <w:rsid w:val="00966996"/>
    <w:rsid w:val="009669D9"/>
    <w:rsid w:val="00995305"/>
    <w:rsid w:val="009B6A97"/>
    <w:rsid w:val="009C619D"/>
    <w:rsid w:val="009E07D6"/>
    <w:rsid w:val="009E507F"/>
    <w:rsid w:val="009E6E2F"/>
    <w:rsid w:val="009F2012"/>
    <w:rsid w:val="00A03E39"/>
    <w:rsid w:val="00A1132C"/>
    <w:rsid w:val="00A13416"/>
    <w:rsid w:val="00A1648E"/>
    <w:rsid w:val="00A173A1"/>
    <w:rsid w:val="00A2215D"/>
    <w:rsid w:val="00A30939"/>
    <w:rsid w:val="00A34A3F"/>
    <w:rsid w:val="00A51554"/>
    <w:rsid w:val="00A566FA"/>
    <w:rsid w:val="00A757E1"/>
    <w:rsid w:val="00A92940"/>
    <w:rsid w:val="00AB02E0"/>
    <w:rsid w:val="00AD36C5"/>
    <w:rsid w:val="00AE290D"/>
    <w:rsid w:val="00B2488B"/>
    <w:rsid w:val="00B254C7"/>
    <w:rsid w:val="00B41CCB"/>
    <w:rsid w:val="00B63AFB"/>
    <w:rsid w:val="00B736C7"/>
    <w:rsid w:val="00B85CE6"/>
    <w:rsid w:val="00BB2EE0"/>
    <w:rsid w:val="00BC436C"/>
    <w:rsid w:val="00BD72FF"/>
    <w:rsid w:val="00C01083"/>
    <w:rsid w:val="00C27328"/>
    <w:rsid w:val="00C360EC"/>
    <w:rsid w:val="00C976C7"/>
    <w:rsid w:val="00CA4BEB"/>
    <w:rsid w:val="00CA60E3"/>
    <w:rsid w:val="00CA6A4D"/>
    <w:rsid w:val="00CF064E"/>
    <w:rsid w:val="00CF242C"/>
    <w:rsid w:val="00CF68A1"/>
    <w:rsid w:val="00D220A3"/>
    <w:rsid w:val="00D27A79"/>
    <w:rsid w:val="00D31193"/>
    <w:rsid w:val="00D369D1"/>
    <w:rsid w:val="00D55E89"/>
    <w:rsid w:val="00D6583C"/>
    <w:rsid w:val="00D70168"/>
    <w:rsid w:val="00D774C7"/>
    <w:rsid w:val="00D84E0D"/>
    <w:rsid w:val="00DC770F"/>
    <w:rsid w:val="00DD2A31"/>
    <w:rsid w:val="00DF1866"/>
    <w:rsid w:val="00E107C1"/>
    <w:rsid w:val="00E217CF"/>
    <w:rsid w:val="00E27D67"/>
    <w:rsid w:val="00E30DFF"/>
    <w:rsid w:val="00E37DC0"/>
    <w:rsid w:val="00E57A83"/>
    <w:rsid w:val="00E70A0A"/>
    <w:rsid w:val="00E72166"/>
    <w:rsid w:val="00E856A5"/>
    <w:rsid w:val="00EA58E9"/>
    <w:rsid w:val="00EB2754"/>
    <w:rsid w:val="00EB5C5A"/>
    <w:rsid w:val="00EC0975"/>
    <w:rsid w:val="00ED572E"/>
    <w:rsid w:val="00EE115C"/>
    <w:rsid w:val="00EE7040"/>
    <w:rsid w:val="00F1138C"/>
    <w:rsid w:val="00F11AB7"/>
    <w:rsid w:val="00F2477F"/>
    <w:rsid w:val="00FA022B"/>
    <w:rsid w:val="00FA16A6"/>
    <w:rsid w:val="00FB7194"/>
    <w:rsid w:val="00FC71B0"/>
    <w:rsid w:val="00FD3813"/>
    <w:rsid w:val="00FD62AA"/>
    <w:rsid w:val="00FE0015"/>
    <w:rsid w:val="606AF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6495"/>
  <w15:chartTrackingRefBased/>
  <w15:docId w15:val="{60C8A026-6586-4F1C-86A1-66271791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5C"/>
    <w:pPr>
      <w:spacing w:after="0" w:line="240" w:lineRule="auto"/>
    </w:pPr>
    <w:rPr>
      <w:sz w:val="24"/>
    </w:rPr>
  </w:style>
  <w:style w:type="paragraph" w:styleId="Heading1">
    <w:name w:val="heading 1"/>
    <w:basedOn w:val="Normal"/>
    <w:next w:val="Normal"/>
    <w:link w:val="Heading1Char"/>
    <w:uiPriority w:val="9"/>
    <w:qFormat/>
    <w:rsid w:val="000B191A"/>
    <w:pPr>
      <w:keepNext/>
      <w:keepLines/>
      <w:spacing w:before="240"/>
      <w:outlineLvl w:val="0"/>
    </w:pPr>
    <w:rPr>
      <w:rFonts w:ascii="Arial" w:eastAsiaTheme="majorEastAsia" w:hAnsi="Arial" w:cstheme="majorBidi"/>
      <w:color w:val="2496AF"/>
      <w:sz w:val="40"/>
      <w:szCs w:val="32"/>
    </w:rPr>
  </w:style>
  <w:style w:type="paragraph" w:styleId="Heading2">
    <w:name w:val="heading 2"/>
    <w:basedOn w:val="Normal"/>
    <w:next w:val="Normal"/>
    <w:link w:val="Heading2Char"/>
    <w:uiPriority w:val="9"/>
    <w:unhideWhenUsed/>
    <w:qFormat/>
    <w:rsid w:val="001769C6"/>
    <w:pPr>
      <w:keepNext/>
      <w:keepLines/>
      <w:spacing w:before="360"/>
      <w:outlineLvl w:val="1"/>
    </w:pPr>
    <w:rPr>
      <w:rFonts w:ascii="Arial" w:eastAsiaTheme="majorEastAsia" w:hAnsi="Arial" w:cstheme="majorBidi"/>
      <w:sz w:val="30"/>
      <w:szCs w:val="26"/>
    </w:rPr>
  </w:style>
  <w:style w:type="paragraph" w:styleId="Heading3">
    <w:name w:val="heading 3"/>
    <w:basedOn w:val="Normal"/>
    <w:next w:val="Normal"/>
    <w:link w:val="Heading3Char"/>
    <w:uiPriority w:val="9"/>
    <w:unhideWhenUsed/>
    <w:qFormat/>
    <w:rsid w:val="00E37DC0"/>
    <w:pPr>
      <w:keepNext/>
      <w:keepLines/>
      <w:spacing w:before="240"/>
      <w:outlineLvl w:val="2"/>
    </w:pPr>
    <w:rPr>
      <w:rFonts w:ascii="Arial" w:eastAsiaTheme="majorEastAsia" w:hAnsi="Arial" w:cstheme="majorBidi"/>
      <w:sz w:val="26"/>
      <w:szCs w:val="24"/>
    </w:rPr>
  </w:style>
  <w:style w:type="paragraph" w:styleId="Heading4">
    <w:name w:val="heading 4"/>
    <w:basedOn w:val="Normal"/>
    <w:next w:val="Normal"/>
    <w:link w:val="Heading4Char"/>
    <w:uiPriority w:val="9"/>
    <w:semiHidden/>
    <w:unhideWhenUsed/>
    <w:qFormat/>
    <w:rsid w:val="001769C6"/>
    <w:pPr>
      <w:keepNext/>
      <w:keepLines/>
      <w:spacing w:before="240"/>
      <w:outlineLvl w:val="3"/>
    </w:pPr>
    <w:rPr>
      <w:rFonts w:eastAsiaTheme="majorEastAsia" w:cstheme="majorBidi"/>
      <w:iCs/>
      <w:sz w:val="26"/>
    </w:rPr>
  </w:style>
  <w:style w:type="paragraph" w:styleId="Heading5">
    <w:name w:val="heading 5"/>
    <w:basedOn w:val="Normal"/>
    <w:next w:val="Normal"/>
    <w:link w:val="Heading5Char"/>
    <w:uiPriority w:val="9"/>
    <w:semiHidden/>
    <w:unhideWhenUsed/>
    <w:qFormat/>
    <w:rsid w:val="006C694C"/>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9C6"/>
    <w:rPr>
      <w:rFonts w:ascii="Arial" w:eastAsiaTheme="majorEastAsia" w:hAnsi="Arial" w:cstheme="majorBidi"/>
      <w:sz w:val="30"/>
      <w:szCs w:val="26"/>
    </w:rPr>
  </w:style>
  <w:style w:type="character" w:customStyle="1" w:styleId="Heading1Char">
    <w:name w:val="Heading 1 Char"/>
    <w:basedOn w:val="DefaultParagraphFont"/>
    <w:link w:val="Heading1"/>
    <w:uiPriority w:val="9"/>
    <w:rsid w:val="000B191A"/>
    <w:rPr>
      <w:rFonts w:ascii="Arial" w:eastAsiaTheme="majorEastAsia" w:hAnsi="Arial" w:cstheme="majorBidi"/>
      <w:color w:val="2496AF"/>
      <w:sz w:val="40"/>
      <w:szCs w:val="32"/>
    </w:rPr>
  </w:style>
  <w:style w:type="character" w:customStyle="1" w:styleId="Heading3Char">
    <w:name w:val="Heading 3 Char"/>
    <w:basedOn w:val="DefaultParagraphFont"/>
    <w:link w:val="Heading3"/>
    <w:uiPriority w:val="9"/>
    <w:rsid w:val="00E37DC0"/>
    <w:rPr>
      <w:rFonts w:ascii="Arial" w:eastAsiaTheme="majorEastAsia" w:hAnsi="Arial" w:cstheme="majorBidi"/>
      <w:sz w:val="26"/>
      <w:szCs w:val="24"/>
    </w:rPr>
  </w:style>
  <w:style w:type="character" w:customStyle="1" w:styleId="Heading4Char">
    <w:name w:val="Heading 4 Char"/>
    <w:basedOn w:val="DefaultParagraphFont"/>
    <w:link w:val="Heading4"/>
    <w:uiPriority w:val="9"/>
    <w:semiHidden/>
    <w:rsid w:val="001769C6"/>
    <w:rPr>
      <w:rFonts w:eastAsiaTheme="majorEastAsia" w:cstheme="majorBidi"/>
      <w:iCs/>
      <w:sz w:val="26"/>
    </w:rPr>
  </w:style>
  <w:style w:type="character" w:customStyle="1" w:styleId="Heading5Char">
    <w:name w:val="Heading 5 Char"/>
    <w:basedOn w:val="DefaultParagraphFont"/>
    <w:link w:val="Heading5"/>
    <w:uiPriority w:val="9"/>
    <w:semiHidden/>
    <w:rsid w:val="006C694C"/>
    <w:rPr>
      <w:rFonts w:eastAsiaTheme="majorEastAsia" w:cstheme="majorBidi"/>
      <w:sz w:val="24"/>
    </w:rPr>
  </w:style>
  <w:style w:type="paragraph" w:styleId="Header">
    <w:name w:val="header"/>
    <w:basedOn w:val="Normal"/>
    <w:link w:val="HeaderChar"/>
    <w:uiPriority w:val="99"/>
    <w:unhideWhenUsed/>
    <w:rsid w:val="00647D5A"/>
    <w:pPr>
      <w:tabs>
        <w:tab w:val="center" w:pos="4513"/>
        <w:tab w:val="right" w:pos="9026"/>
      </w:tabs>
    </w:pPr>
  </w:style>
  <w:style w:type="character" w:customStyle="1" w:styleId="HeaderChar">
    <w:name w:val="Header Char"/>
    <w:basedOn w:val="DefaultParagraphFont"/>
    <w:link w:val="Header"/>
    <w:uiPriority w:val="99"/>
    <w:rsid w:val="00647D5A"/>
    <w:rPr>
      <w:sz w:val="24"/>
    </w:rPr>
  </w:style>
  <w:style w:type="paragraph" w:styleId="Footer">
    <w:name w:val="footer"/>
    <w:basedOn w:val="Normal"/>
    <w:link w:val="FooterChar"/>
    <w:uiPriority w:val="99"/>
    <w:unhideWhenUsed/>
    <w:rsid w:val="00647D5A"/>
    <w:pPr>
      <w:tabs>
        <w:tab w:val="center" w:pos="4513"/>
        <w:tab w:val="right" w:pos="9026"/>
      </w:tabs>
    </w:pPr>
  </w:style>
  <w:style w:type="character" w:customStyle="1" w:styleId="FooterChar">
    <w:name w:val="Footer Char"/>
    <w:basedOn w:val="DefaultParagraphFont"/>
    <w:link w:val="Footer"/>
    <w:uiPriority w:val="99"/>
    <w:rsid w:val="00647D5A"/>
    <w:rPr>
      <w:sz w:val="24"/>
    </w:rPr>
  </w:style>
  <w:style w:type="paragraph" w:styleId="ListParagraph">
    <w:name w:val="List Paragraph"/>
    <w:aliases w:val="List Paragraph spacing"/>
    <w:basedOn w:val="Normal"/>
    <w:link w:val="ListParagraphChar"/>
    <w:uiPriority w:val="34"/>
    <w:qFormat/>
    <w:rsid w:val="000C2873"/>
    <w:pPr>
      <w:spacing w:after="120"/>
      <w:ind w:left="720"/>
    </w:pPr>
  </w:style>
  <w:style w:type="table" w:styleId="TableGrid">
    <w:name w:val="Table Grid"/>
    <w:basedOn w:val="TableNormal"/>
    <w:uiPriority w:val="39"/>
    <w:rsid w:val="001D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F5"/>
    <w:rPr>
      <w:color w:val="0563C1" w:themeColor="hyperlink"/>
      <w:u w:val="single"/>
    </w:rPr>
  </w:style>
  <w:style w:type="paragraph" w:styleId="BalloonText">
    <w:name w:val="Balloon Text"/>
    <w:basedOn w:val="Normal"/>
    <w:link w:val="BalloonTextChar"/>
    <w:uiPriority w:val="99"/>
    <w:semiHidden/>
    <w:unhideWhenUsed/>
    <w:rsid w:val="00F24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7F"/>
    <w:rPr>
      <w:rFonts w:ascii="Segoe UI" w:hAnsi="Segoe UI" w:cs="Segoe UI"/>
      <w:sz w:val="18"/>
      <w:szCs w:val="18"/>
    </w:rPr>
  </w:style>
  <w:style w:type="paragraph" w:styleId="NoSpacing">
    <w:name w:val="No Spacing"/>
    <w:uiPriority w:val="1"/>
    <w:qFormat/>
    <w:rsid w:val="00815390"/>
    <w:pPr>
      <w:spacing w:after="0" w:line="240" w:lineRule="auto"/>
    </w:pPr>
    <w:rPr>
      <w:sz w:val="24"/>
    </w:rPr>
  </w:style>
  <w:style w:type="paragraph" w:styleId="Title">
    <w:name w:val="Title"/>
    <w:basedOn w:val="Normal"/>
    <w:next w:val="Normal"/>
    <w:link w:val="TitleChar"/>
    <w:uiPriority w:val="10"/>
    <w:qFormat/>
    <w:rsid w:val="00BC43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6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8F3AF2"/>
    <w:pPr>
      <w:spacing w:before="200"/>
      <w:ind w:left="567" w:right="567"/>
    </w:pPr>
    <w:rPr>
      <w:iCs/>
    </w:rPr>
  </w:style>
  <w:style w:type="character" w:customStyle="1" w:styleId="QuoteChar">
    <w:name w:val="Quote Char"/>
    <w:basedOn w:val="DefaultParagraphFont"/>
    <w:link w:val="Quote"/>
    <w:uiPriority w:val="29"/>
    <w:rsid w:val="008F3AF2"/>
    <w:rPr>
      <w:iCs/>
      <w:sz w:val="24"/>
    </w:rPr>
  </w:style>
  <w:style w:type="paragraph" w:customStyle="1" w:styleId="ListParagraphnospacing">
    <w:name w:val="List Paragraph no spacing"/>
    <w:basedOn w:val="ListParagraph"/>
    <w:link w:val="ListParagraphnospacingChar"/>
    <w:qFormat/>
    <w:rsid w:val="00A92940"/>
    <w:pPr>
      <w:contextualSpacing/>
    </w:pPr>
  </w:style>
  <w:style w:type="character" w:customStyle="1" w:styleId="ListParagraphChar">
    <w:name w:val="List Paragraph Char"/>
    <w:aliases w:val="List Paragraph spacing Char"/>
    <w:basedOn w:val="DefaultParagraphFont"/>
    <w:link w:val="ListParagraph"/>
    <w:uiPriority w:val="34"/>
    <w:rsid w:val="00A92940"/>
    <w:rPr>
      <w:sz w:val="24"/>
    </w:rPr>
  </w:style>
  <w:style w:type="character" w:customStyle="1" w:styleId="ListParagraphnospacingChar">
    <w:name w:val="List Paragraph no spacing Char"/>
    <w:basedOn w:val="ListParagraphChar"/>
    <w:link w:val="ListParagraphnospacing"/>
    <w:rsid w:val="00A92940"/>
    <w:rPr>
      <w:sz w:val="24"/>
    </w:rPr>
  </w:style>
  <w:style w:type="character" w:styleId="UnresolvedMention">
    <w:name w:val="Unresolved Mention"/>
    <w:basedOn w:val="DefaultParagraphFont"/>
    <w:uiPriority w:val="99"/>
    <w:semiHidden/>
    <w:unhideWhenUsed/>
    <w:rsid w:val="0011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8355">
      <w:bodyDiv w:val="1"/>
      <w:marLeft w:val="0"/>
      <w:marRight w:val="0"/>
      <w:marTop w:val="0"/>
      <w:marBottom w:val="0"/>
      <w:divBdr>
        <w:top w:val="none" w:sz="0" w:space="0" w:color="auto"/>
        <w:left w:val="none" w:sz="0" w:space="0" w:color="auto"/>
        <w:bottom w:val="none" w:sz="0" w:space="0" w:color="auto"/>
        <w:right w:val="none" w:sz="0" w:space="0" w:color="auto"/>
      </w:divBdr>
    </w:div>
    <w:div w:id="421530777">
      <w:bodyDiv w:val="1"/>
      <w:marLeft w:val="0"/>
      <w:marRight w:val="0"/>
      <w:marTop w:val="0"/>
      <w:marBottom w:val="0"/>
      <w:divBdr>
        <w:top w:val="none" w:sz="0" w:space="0" w:color="auto"/>
        <w:left w:val="none" w:sz="0" w:space="0" w:color="auto"/>
        <w:bottom w:val="none" w:sz="0" w:space="0" w:color="auto"/>
        <w:right w:val="none" w:sz="0" w:space="0" w:color="auto"/>
      </w:divBdr>
    </w:div>
    <w:div w:id="1788313219">
      <w:bodyDiv w:val="1"/>
      <w:marLeft w:val="0"/>
      <w:marRight w:val="0"/>
      <w:marTop w:val="0"/>
      <w:marBottom w:val="0"/>
      <w:divBdr>
        <w:top w:val="none" w:sz="0" w:space="0" w:color="auto"/>
        <w:left w:val="none" w:sz="0" w:space="0" w:color="auto"/>
        <w:bottom w:val="none" w:sz="0" w:space="0" w:color="auto"/>
        <w:right w:val="none" w:sz="0" w:space="0" w:color="auto"/>
      </w:divBdr>
    </w:div>
    <w:div w:id="19671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nypcc.sharepoint.com/Shared%20Documents/Policy/Decision%20records/D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E06F49BB1E64086FF6D303A9873AE" ma:contentTypeVersion="15" ma:contentTypeDescription="Create a new document." ma:contentTypeScope="" ma:versionID="a7db2dab106acc54b057fc29623975ce">
  <xsd:schema xmlns:xsd="http://www.w3.org/2001/XMLSchema" xmlns:xs="http://www.w3.org/2001/XMLSchema" xmlns:p="http://schemas.microsoft.com/office/2006/metadata/properties" xmlns:ns2="26db1379-4fb3-4610-bdb0-e2ca34869062" xmlns:ns3="1d5b406d-af38-4c13-96c7-f2b57de50c7c" targetNamespace="http://schemas.microsoft.com/office/2006/metadata/properties" ma:root="true" ma:fieldsID="3fa14930dff3114dd824a7700d7e220d" ns2:_="" ns3:_="">
    <xsd:import namespace="26db1379-4fb3-4610-bdb0-e2ca34869062"/>
    <xsd:import namespace="1d5b406d-af38-4c13-96c7-f2b57de50c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_x0031_"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379-4fb3-4610-bdb0-e2ca34869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1_" ma:index="21" nillable="true" ma:displayName="1" ma:format="Dropdown" ma:internalName="_x0031_" ma:percentage="FALSE">
      <xsd:simpleType>
        <xsd:restriction base="dms:Number"/>
      </xsd:simpleType>
    </xsd:element>
    <xsd:element name="Order0" ma:index="22"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d5b406d-af38-4c13-96c7-f2b57de50c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26db1379-4fb3-4610-bdb0-e2ca34869062" xsi:nil="true"/>
    <Order0 xmlns="26db1379-4fb3-4610-bdb0-e2ca34869062" xsi:nil="true"/>
    <_x0031_ xmlns="26db1379-4fb3-4610-bdb0-e2ca34869062" xsi:nil="true"/>
  </documentManagement>
</p:properties>
</file>

<file path=customXml/itemProps1.xml><?xml version="1.0" encoding="utf-8"?>
<ds:datastoreItem xmlns:ds="http://schemas.openxmlformats.org/officeDocument/2006/customXml" ds:itemID="{825B74E0-72C1-49F8-B233-C7451763C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b1379-4fb3-4610-bdb0-e2ca34869062"/>
    <ds:schemaRef ds:uri="1d5b406d-af38-4c13-96c7-f2b57de5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08915-DE75-41B5-AF0B-B9461D075112}">
  <ds:schemaRefs>
    <ds:schemaRef ds:uri="http://schemas.microsoft.com/sharepoint/v3/contenttype/forms"/>
  </ds:schemaRefs>
</ds:datastoreItem>
</file>

<file path=customXml/itemProps3.xml><?xml version="1.0" encoding="utf-8"?>
<ds:datastoreItem xmlns:ds="http://schemas.openxmlformats.org/officeDocument/2006/customXml" ds:itemID="{532F3C94-53CD-44B4-91D4-8F29A131CACE}">
  <ds:schemaRefs>
    <ds:schemaRef ds:uri="http://schemas.microsoft.com/office/2006/metadata/properties"/>
    <ds:schemaRef ds:uri="http://schemas.microsoft.com/office/infopath/2007/PartnerControls"/>
    <ds:schemaRef ds:uri="26db1379-4fb3-4610-bdb0-e2ca34869062"/>
  </ds:schemaRefs>
</ds:datastoreItem>
</file>

<file path=docProps/app.xml><?xml version="1.0" encoding="utf-8"?>
<Properties xmlns="http://schemas.openxmlformats.org/officeDocument/2006/extended-properties" xmlns:vt="http://schemas.openxmlformats.org/officeDocument/2006/docPropsVTypes">
  <Template>DN-TEMPLATE</Template>
  <TotalTime>26</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Thomas</dc:creator>
  <cp:keywords/>
  <dc:description/>
  <cp:lastModifiedBy>Thomas Thorp</cp:lastModifiedBy>
  <cp:revision>2</cp:revision>
  <cp:lastPrinted>2018-09-17T08:06:00Z</cp:lastPrinted>
  <dcterms:created xsi:type="dcterms:W3CDTF">2021-02-23T10:53:00Z</dcterms:created>
  <dcterms:modified xsi:type="dcterms:W3CDTF">2021-02-23T11:39:00Z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0x010100E30E06F49BB1E64086FF6D303A9873AE</vt:lpwstr>
  </property>
</Properties>
</file>