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828A7" w14:textId="77777777" w:rsidR="00AD44CB" w:rsidRPr="0092423C" w:rsidRDefault="00AD44CB" w:rsidP="00AD44CB">
      <w:pPr>
        <w:spacing w:line="240" w:lineRule="auto"/>
        <w:jc w:val="center"/>
        <w:rPr>
          <w:rFonts w:ascii="Arial" w:hAnsi="Arial" w:cs="Arial"/>
          <w:b/>
        </w:rPr>
      </w:pPr>
      <w:r w:rsidRPr="0092423C">
        <w:rPr>
          <w:rFonts w:ascii="Arial" w:hAnsi="Arial" w:cs="Arial"/>
          <w:b/>
        </w:rPr>
        <w:t>LOCAL PENSION BOARD</w:t>
      </w:r>
    </w:p>
    <w:p w14:paraId="130C7EFD" w14:textId="77777777" w:rsidR="00AD44CB" w:rsidRPr="0092423C" w:rsidRDefault="00AD44CB" w:rsidP="00AD44CB">
      <w:pPr>
        <w:spacing w:line="240" w:lineRule="auto"/>
        <w:jc w:val="center"/>
        <w:rPr>
          <w:rFonts w:ascii="Arial" w:hAnsi="Arial" w:cs="Arial"/>
          <w:b/>
          <w:u w:val="single"/>
        </w:rPr>
      </w:pPr>
      <w:r w:rsidRPr="0092423C">
        <w:rPr>
          <w:rFonts w:ascii="Arial" w:hAnsi="Arial" w:cs="Arial"/>
          <w:b/>
          <w:u w:val="single"/>
        </w:rPr>
        <w:t>Report of the Pensions Administrator / Manager</w:t>
      </w:r>
    </w:p>
    <w:p w14:paraId="61706E19" w14:textId="4F40BBF6" w:rsidR="00AD44CB" w:rsidRPr="0092423C" w:rsidRDefault="00E73501" w:rsidP="00AD44CB">
      <w:pPr>
        <w:spacing w:line="240" w:lineRule="auto"/>
        <w:jc w:val="center"/>
        <w:rPr>
          <w:rFonts w:ascii="Arial" w:hAnsi="Arial" w:cs="Arial"/>
          <w:b/>
        </w:rPr>
      </w:pPr>
      <w:r w:rsidRPr="0092423C">
        <w:rPr>
          <w:rFonts w:ascii="Arial" w:hAnsi="Arial" w:cs="Arial"/>
          <w:b/>
        </w:rPr>
        <w:t>24</w:t>
      </w:r>
      <w:r w:rsidR="00305DB4" w:rsidRPr="0092423C">
        <w:rPr>
          <w:rFonts w:ascii="Arial" w:hAnsi="Arial" w:cs="Arial"/>
          <w:b/>
        </w:rPr>
        <w:t xml:space="preserve"> February 2021</w:t>
      </w:r>
    </w:p>
    <w:p w14:paraId="313CAC25" w14:textId="77777777" w:rsidR="00AD44CB" w:rsidRPr="0092423C" w:rsidRDefault="00AD44CB" w:rsidP="00AD44CB">
      <w:pPr>
        <w:spacing w:line="240" w:lineRule="auto"/>
        <w:jc w:val="center"/>
        <w:rPr>
          <w:rFonts w:ascii="Arial" w:hAnsi="Arial" w:cs="Arial"/>
          <w:b/>
        </w:rPr>
      </w:pPr>
      <w:r w:rsidRPr="0092423C">
        <w:rPr>
          <w:rFonts w:ascii="Arial" w:hAnsi="Arial" w:cs="Arial"/>
          <w:b/>
        </w:rPr>
        <w:t>PENSIONS UPDATE</w:t>
      </w:r>
    </w:p>
    <w:p w14:paraId="7FA4D2F7" w14:textId="338246A1" w:rsidR="00AD44CB" w:rsidRPr="0092423C" w:rsidRDefault="00AD44CB" w:rsidP="00AD44CB">
      <w:pPr>
        <w:spacing w:line="240" w:lineRule="auto"/>
        <w:jc w:val="both"/>
        <w:rPr>
          <w:rFonts w:ascii="Arial" w:hAnsi="Arial" w:cs="Arial"/>
          <w:b/>
          <w:u w:val="single"/>
        </w:rPr>
      </w:pPr>
      <w:r w:rsidRPr="0092423C">
        <w:rPr>
          <w:noProof/>
        </w:rPr>
        <mc:AlternateContent>
          <mc:Choice Requires="wps">
            <w:drawing>
              <wp:anchor distT="0" distB="0" distL="114300" distR="114300" simplePos="0" relativeHeight="251657216" behindDoc="0" locked="0" layoutInCell="1" allowOverlap="1" wp14:anchorId="678ADFFA" wp14:editId="62D57F52">
                <wp:simplePos x="0" y="0"/>
                <wp:positionH relativeFrom="column">
                  <wp:posOffset>-152400</wp:posOffset>
                </wp:positionH>
                <wp:positionV relativeFrom="paragraph">
                  <wp:posOffset>106680</wp:posOffset>
                </wp:positionV>
                <wp:extent cx="6248400" cy="8191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248400" cy="8191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211D9" w14:textId="77777777" w:rsidR="00AD44CB" w:rsidRDefault="00AD44CB" w:rsidP="00AD44CB">
                            <w:pPr>
                              <w:pStyle w:val="ListParagraph"/>
                              <w:numPr>
                                <w:ilvl w:val="0"/>
                                <w:numId w:val="38"/>
                              </w:numPr>
                              <w:rPr>
                                <w:rFonts w:ascii="Arial" w:hAnsi="Arial" w:cs="Arial"/>
                                <w:b/>
                                <w:u w:val="single"/>
                              </w:rPr>
                            </w:pPr>
                            <w:r>
                              <w:rPr>
                                <w:rFonts w:ascii="Arial" w:hAnsi="Arial" w:cs="Arial"/>
                                <w:b/>
                                <w:u w:val="single"/>
                              </w:rPr>
                              <w:t>Purpose of Report</w:t>
                            </w:r>
                          </w:p>
                          <w:p w14:paraId="4CB38CCB" w14:textId="77777777" w:rsidR="00AD44CB" w:rsidRDefault="00AD44CB" w:rsidP="00AD44CB">
                            <w:pPr>
                              <w:ind w:left="720" w:hanging="720"/>
                              <w:rPr>
                                <w:rFonts w:ascii="Arial" w:hAnsi="Arial" w:cs="Arial"/>
                              </w:rPr>
                            </w:pPr>
                            <w:r>
                              <w:rPr>
                                <w:rFonts w:ascii="Arial" w:hAnsi="Arial" w:cs="Arial"/>
                              </w:rPr>
                              <w:t>1.1</w:t>
                            </w:r>
                            <w:r>
                              <w:rPr>
                                <w:rFonts w:ascii="Arial" w:hAnsi="Arial" w:cs="Arial"/>
                              </w:rPr>
                              <w:tab/>
                              <w:t xml:space="preserve">To provide Members with information on scheme membership and scheme changes as well as training, </w:t>
                            </w:r>
                            <w:proofErr w:type="gramStart"/>
                            <w:r>
                              <w:rPr>
                                <w:rFonts w:ascii="Arial" w:hAnsi="Arial" w:cs="Arial"/>
                              </w:rPr>
                              <w:t>governance</w:t>
                            </w:r>
                            <w:proofErr w:type="gramEnd"/>
                            <w:r>
                              <w:rPr>
                                <w:rFonts w:ascii="Arial" w:hAnsi="Arial" w:cs="Arial"/>
                              </w:rPr>
                              <w:t xml:space="preserve"> and communication issues.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ADFFA" id="_x0000_t202" coordsize="21600,21600" o:spt="202" path="m,l,21600r21600,l21600,xe">
                <v:stroke joinstyle="miter"/>
                <v:path gradientshapeok="t" o:connecttype="rect"/>
              </v:shapetype>
              <v:shape id="Text Box 6" o:spid="_x0000_s1026" type="#_x0000_t202" style="position:absolute;left:0;text-align:left;margin-left:-12pt;margin-top:8.4pt;width:492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" fillcolor="#bfbfbf [2412]" strokeweight=".5pt">
                <v:textbox>
                  <w:txbxContent>
                    <w:p w14:paraId="474211D9" w14:textId="77777777" w:rsidR="00AD44CB" w:rsidRDefault="00AD44CB" w:rsidP="00AD44CB">
                      <w:pPr>
                        <w:pStyle w:val="ListParagraph"/>
                        <w:numPr>
                          <w:ilvl w:val="0"/>
                          <w:numId w:val="38"/>
                        </w:numPr>
                        <w:rPr>
                          <w:rFonts w:ascii="Arial" w:hAnsi="Arial" w:cs="Arial"/>
                          <w:b/>
                          <w:u w:val="single"/>
                        </w:rPr>
                      </w:pPr>
                      <w:r>
                        <w:rPr>
                          <w:rFonts w:ascii="Arial" w:hAnsi="Arial" w:cs="Arial"/>
                          <w:b/>
                          <w:u w:val="single"/>
                        </w:rPr>
                        <w:t>Purpose of Report</w:t>
                      </w:r>
                    </w:p>
                    <w:p w14:paraId="4CB38CCB" w14:textId="77777777" w:rsidR="00AD44CB" w:rsidRDefault="00AD44CB" w:rsidP="00AD44CB">
                      <w:pPr>
                        <w:ind w:left="720" w:hanging="720"/>
                        <w:rPr>
                          <w:rFonts w:ascii="Arial" w:hAnsi="Arial" w:cs="Arial"/>
                        </w:rPr>
                      </w:pPr>
                      <w:r>
                        <w:rPr>
                          <w:rFonts w:ascii="Arial" w:hAnsi="Arial" w:cs="Arial"/>
                        </w:rPr>
                        <w:t>1.1</w:t>
                      </w:r>
                      <w:r>
                        <w:rPr>
                          <w:rFonts w:ascii="Arial" w:hAnsi="Arial" w:cs="Arial"/>
                        </w:rPr>
                        <w:tab/>
                        <w:t xml:space="preserve">To provide Members with information on scheme membership and scheme changes as well as training, </w:t>
                      </w:r>
                      <w:proofErr w:type="gramStart"/>
                      <w:r>
                        <w:rPr>
                          <w:rFonts w:ascii="Arial" w:hAnsi="Arial" w:cs="Arial"/>
                        </w:rPr>
                        <w:t>governance</w:t>
                      </w:r>
                      <w:proofErr w:type="gramEnd"/>
                      <w:r>
                        <w:rPr>
                          <w:rFonts w:ascii="Arial" w:hAnsi="Arial" w:cs="Arial"/>
                        </w:rPr>
                        <w:t xml:space="preserve"> and communication issues. </w:t>
                      </w:r>
                    </w:p>
                  </w:txbxContent>
                </v:textbox>
              </v:shape>
            </w:pict>
          </mc:Fallback>
        </mc:AlternateContent>
      </w:r>
    </w:p>
    <w:p w14:paraId="713E5187" w14:textId="77777777" w:rsidR="00AD44CB" w:rsidRPr="0092423C" w:rsidRDefault="00AD44CB" w:rsidP="00AD44CB">
      <w:pPr>
        <w:spacing w:line="240" w:lineRule="auto"/>
        <w:jc w:val="both"/>
        <w:rPr>
          <w:rFonts w:ascii="Arial" w:hAnsi="Arial" w:cs="Arial"/>
          <w:b/>
          <w:u w:val="single"/>
        </w:rPr>
      </w:pPr>
    </w:p>
    <w:p w14:paraId="7ECA955C" w14:textId="77777777" w:rsidR="00AD44CB" w:rsidRPr="0092423C" w:rsidRDefault="00AD44CB" w:rsidP="00AD44CB">
      <w:pPr>
        <w:spacing w:after="0" w:line="240" w:lineRule="auto"/>
        <w:jc w:val="both"/>
        <w:rPr>
          <w:rFonts w:ascii="Arial" w:hAnsi="Arial" w:cs="Arial"/>
          <w:b/>
          <w:u w:val="single"/>
        </w:rPr>
      </w:pPr>
    </w:p>
    <w:p w14:paraId="3CD0EB39" w14:textId="77777777" w:rsidR="00AD44CB" w:rsidRPr="0092423C" w:rsidRDefault="00AD44CB" w:rsidP="00AD44CB">
      <w:pPr>
        <w:spacing w:after="0" w:line="240" w:lineRule="auto"/>
        <w:jc w:val="both"/>
        <w:rPr>
          <w:rFonts w:ascii="Arial" w:hAnsi="Arial" w:cs="Arial"/>
          <w:b/>
        </w:rPr>
      </w:pPr>
    </w:p>
    <w:p w14:paraId="35DCCCD7" w14:textId="77777777" w:rsidR="00AD44CB" w:rsidRPr="0092423C" w:rsidRDefault="00AD44CB" w:rsidP="00AD44CB">
      <w:pPr>
        <w:spacing w:after="0" w:line="240" w:lineRule="auto"/>
        <w:jc w:val="both"/>
        <w:rPr>
          <w:rFonts w:ascii="Arial" w:hAnsi="Arial" w:cs="Arial"/>
          <w:b/>
        </w:rPr>
      </w:pPr>
    </w:p>
    <w:p w14:paraId="72AB137E" w14:textId="77777777" w:rsidR="00AD44CB" w:rsidRPr="0092423C" w:rsidRDefault="00AD44CB" w:rsidP="00AD44CB">
      <w:pPr>
        <w:spacing w:after="0" w:line="240" w:lineRule="auto"/>
        <w:jc w:val="both"/>
        <w:rPr>
          <w:rFonts w:ascii="Arial" w:hAnsi="Arial" w:cs="Arial"/>
          <w:b/>
        </w:rPr>
      </w:pPr>
    </w:p>
    <w:p w14:paraId="2817BC3D" w14:textId="77777777" w:rsidR="00AD44CB" w:rsidRPr="0092423C" w:rsidRDefault="00AD44CB" w:rsidP="00AD44CB">
      <w:pPr>
        <w:spacing w:after="0" w:line="240" w:lineRule="auto"/>
        <w:jc w:val="both"/>
        <w:rPr>
          <w:rFonts w:ascii="Arial" w:hAnsi="Arial" w:cs="Arial"/>
          <w:b/>
          <w:u w:val="single"/>
        </w:rPr>
      </w:pPr>
      <w:r w:rsidRPr="0092423C">
        <w:rPr>
          <w:rFonts w:ascii="Arial" w:hAnsi="Arial" w:cs="Arial"/>
          <w:b/>
        </w:rPr>
        <w:t>2.0</w:t>
      </w:r>
      <w:r w:rsidRPr="0092423C">
        <w:rPr>
          <w:rFonts w:ascii="Arial" w:hAnsi="Arial" w:cs="Arial"/>
          <w:b/>
        </w:rPr>
        <w:tab/>
      </w:r>
      <w:r w:rsidRPr="0092423C">
        <w:rPr>
          <w:rFonts w:ascii="Arial" w:hAnsi="Arial" w:cs="Arial"/>
          <w:b/>
          <w:u w:val="single"/>
        </w:rPr>
        <w:t>Introduction</w:t>
      </w:r>
    </w:p>
    <w:p w14:paraId="319D468E" w14:textId="77777777" w:rsidR="00AD44CB" w:rsidRPr="0092423C" w:rsidRDefault="00AD44CB" w:rsidP="00AD44CB">
      <w:pPr>
        <w:spacing w:after="0" w:line="240" w:lineRule="auto"/>
        <w:jc w:val="both"/>
        <w:rPr>
          <w:rFonts w:ascii="Arial" w:hAnsi="Arial" w:cs="Arial"/>
          <w:b/>
          <w:u w:val="single"/>
        </w:rPr>
      </w:pPr>
    </w:p>
    <w:p w14:paraId="79A8799E" w14:textId="77777777" w:rsidR="00AD44CB" w:rsidRPr="0092423C" w:rsidRDefault="00AD44CB" w:rsidP="00AD44CB">
      <w:pPr>
        <w:spacing w:after="0" w:line="240" w:lineRule="auto"/>
        <w:ind w:left="720" w:hanging="720"/>
        <w:jc w:val="both"/>
        <w:rPr>
          <w:rFonts w:ascii="Arial" w:hAnsi="Arial" w:cs="Arial"/>
        </w:rPr>
      </w:pPr>
      <w:r w:rsidRPr="0092423C">
        <w:rPr>
          <w:rFonts w:ascii="Arial" w:hAnsi="Arial" w:cs="Arial"/>
        </w:rPr>
        <w:t>2.1</w:t>
      </w:r>
      <w:r w:rsidRPr="0092423C">
        <w:rPr>
          <w:rFonts w:ascii="Arial" w:hAnsi="Arial" w:cs="Arial"/>
        </w:rPr>
        <w:tab/>
        <w:t xml:space="preserve">This report provides Members with scheme information, together with updates on current issues and training. </w:t>
      </w:r>
    </w:p>
    <w:p w14:paraId="4F4E9FE7" w14:textId="77777777" w:rsidR="00AD44CB" w:rsidRPr="0092423C" w:rsidRDefault="00AD44CB" w:rsidP="00AD44CB">
      <w:pPr>
        <w:spacing w:after="0" w:line="240" w:lineRule="auto"/>
        <w:ind w:left="720" w:hanging="720"/>
        <w:jc w:val="both"/>
        <w:rPr>
          <w:rFonts w:ascii="Arial" w:hAnsi="Arial" w:cs="Arial"/>
        </w:rPr>
      </w:pPr>
    </w:p>
    <w:p w14:paraId="1659445A" w14:textId="77777777" w:rsidR="00AD44CB" w:rsidRPr="0092423C" w:rsidRDefault="00AD44CB" w:rsidP="00AD44CB">
      <w:pPr>
        <w:spacing w:after="0" w:line="240" w:lineRule="auto"/>
        <w:ind w:left="720" w:hanging="720"/>
        <w:jc w:val="both"/>
        <w:rPr>
          <w:rFonts w:ascii="Arial" w:hAnsi="Arial" w:cs="Arial"/>
        </w:rPr>
      </w:pPr>
    </w:p>
    <w:p w14:paraId="799FE597" w14:textId="77777777" w:rsidR="00AD44CB" w:rsidRPr="0092423C" w:rsidRDefault="00AD44CB" w:rsidP="00AD44CB">
      <w:pPr>
        <w:spacing w:after="0" w:line="240" w:lineRule="auto"/>
        <w:jc w:val="both"/>
        <w:rPr>
          <w:rFonts w:ascii="Arial" w:hAnsi="Arial" w:cs="Arial"/>
          <w:b/>
          <w:u w:val="single"/>
        </w:rPr>
      </w:pPr>
      <w:r w:rsidRPr="0092423C">
        <w:rPr>
          <w:rFonts w:ascii="Arial" w:hAnsi="Arial" w:cs="Arial"/>
          <w:b/>
        </w:rPr>
        <w:t>3.0</w:t>
      </w:r>
      <w:r w:rsidRPr="0092423C">
        <w:rPr>
          <w:rFonts w:ascii="Arial" w:hAnsi="Arial" w:cs="Arial"/>
          <w:b/>
        </w:rPr>
        <w:tab/>
      </w:r>
      <w:r w:rsidRPr="0092423C">
        <w:rPr>
          <w:rFonts w:ascii="Arial" w:hAnsi="Arial" w:cs="Arial"/>
          <w:b/>
          <w:u w:val="single"/>
        </w:rPr>
        <w:t>Scheme Membership Information</w:t>
      </w:r>
    </w:p>
    <w:p w14:paraId="0637DB34" w14:textId="77777777" w:rsidR="00AD44CB" w:rsidRPr="0092423C" w:rsidRDefault="00AD44CB" w:rsidP="00AD44CB">
      <w:pPr>
        <w:spacing w:after="0" w:line="240" w:lineRule="auto"/>
        <w:jc w:val="both"/>
        <w:rPr>
          <w:rFonts w:ascii="Arial" w:hAnsi="Arial" w:cs="Arial"/>
          <w:b/>
          <w:u w:val="single"/>
        </w:rPr>
      </w:pPr>
    </w:p>
    <w:p w14:paraId="27E10B6C" w14:textId="522B45D8" w:rsidR="00AD44CB" w:rsidRPr="0092423C" w:rsidRDefault="00AD44CB" w:rsidP="00AD44CB">
      <w:pPr>
        <w:shd w:val="clear" w:color="auto" w:fill="FFFFFF" w:themeFill="background1"/>
        <w:spacing w:line="240" w:lineRule="auto"/>
        <w:ind w:left="720" w:hanging="720"/>
        <w:jc w:val="both"/>
        <w:rPr>
          <w:rFonts w:ascii="Arial" w:hAnsi="Arial" w:cs="Arial"/>
        </w:rPr>
      </w:pPr>
      <w:r w:rsidRPr="0092423C">
        <w:rPr>
          <w:rFonts w:ascii="Arial" w:hAnsi="Arial" w:cs="Arial"/>
        </w:rPr>
        <w:t>3.1</w:t>
      </w:r>
      <w:r w:rsidRPr="0092423C">
        <w:rPr>
          <w:rFonts w:ascii="Arial" w:hAnsi="Arial" w:cs="Arial"/>
        </w:rPr>
        <w:tab/>
        <w:t xml:space="preserve">The following active memberships of the firefighters’ pension schemes are taken from pay data as </w:t>
      </w:r>
      <w:proofErr w:type="gramStart"/>
      <w:r w:rsidRPr="0092423C">
        <w:rPr>
          <w:rFonts w:ascii="Arial" w:hAnsi="Arial" w:cs="Arial"/>
        </w:rPr>
        <w:t>at</w:t>
      </w:r>
      <w:proofErr w:type="gramEnd"/>
      <w:r w:rsidRPr="0092423C">
        <w:rPr>
          <w:rFonts w:ascii="Arial" w:hAnsi="Arial" w:cs="Arial"/>
        </w:rPr>
        <w:t xml:space="preserve"> </w:t>
      </w:r>
      <w:r w:rsidR="00230830" w:rsidRPr="0092423C">
        <w:rPr>
          <w:rFonts w:ascii="Arial" w:hAnsi="Arial" w:cs="Arial"/>
        </w:rPr>
        <w:t xml:space="preserve">15 January </w:t>
      </w:r>
      <w:r w:rsidR="009000A9" w:rsidRPr="0092423C">
        <w:rPr>
          <w:rFonts w:ascii="Arial" w:hAnsi="Arial" w:cs="Arial"/>
        </w:rPr>
        <w:t>2021</w:t>
      </w:r>
      <w:r w:rsidRPr="0092423C">
        <w:rPr>
          <w:rFonts w:ascii="Arial" w:hAnsi="Arial" w:cs="Arial"/>
        </w:rPr>
        <w:t xml:space="preserve"> (for </w:t>
      </w:r>
      <w:r w:rsidR="003B6590" w:rsidRPr="0092423C">
        <w:rPr>
          <w:rFonts w:ascii="Arial" w:hAnsi="Arial" w:cs="Arial"/>
        </w:rPr>
        <w:t xml:space="preserve">both </w:t>
      </w:r>
      <w:r w:rsidRPr="0092423C">
        <w:rPr>
          <w:rFonts w:ascii="Arial" w:hAnsi="Arial" w:cs="Arial"/>
        </w:rPr>
        <w:t xml:space="preserve">Wholetime </w:t>
      </w:r>
      <w:r w:rsidR="00782B5F" w:rsidRPr="0092423C">
        <w:rPr>
          <w:rFonts w:ascii="Arial" w:hAnsi="Arial" w:cs="Arial"/>
        </w:rPr>
        <w:t xml:space="preserve">and On-Call </w:t>
      </w:r>
      <w:r w:rsidRPr="0092423C">
        <w:rPr>
          <w:rFonts w:ascii="Arial" w:hAnsi="Arial" w:cs="Arial"/>
        </w:rPr>
        <w:t xml:space="preserve">Firefighters), and compared with active membership as at </w:t>
      </w:r>
      <w:r w:rsidR="009000A9" w:rsidRPr="0092423C">
        <w:rPr>
          <w:rFonts w:ascii="Arial" w:hAnsi="Arial" w:cs="Arial"/>
        </w:rPr>
        <w:t>23 October 2020</w:t>
      </w:r>
      <w:r w:rsidRPr="0092423C">
        <w:rPr>
          <w:rFonts w:ascii="Arial" w:hAnsi="Arial" w:cs="Arial"/>
        </w:rPr>
        <w:t xml:space="preserve"> (for Wholetime Firefighters) and 1</w:t>
      </w:r>
      <w:r w:rsidR="00C33F45" w:rsidRPr="0092423C">
        <w:rPr>
          <w:rFonts w:ascii="Arial" w:hAnsi="Arial" w:cs="Arial"/>
        </w:rPr>
        <w:t xml:space="preserve">5 October </w:t>
      </w:r>
      <w:r w:rsidRPr="0092423C">
        <w:rPr>
          <w:rFonts w:ascii="Arial" w:hAnsi="Arial" w:cs="Arial"/>
        </w:rPr>
        <w:t>2020 (for On-Call Firefighters).</w:t>
      </w:r>
    </w:p>
    <w:p w14:paraId="7F7FE42E" w14:textId="77777777" w:rsidR="00AD44CB" w:rsidRPr="0092423C" w:rsidRDefault="00AD44CB" w:rsidP="00AD44CB">
      <w:pPr>
        <w:shd w:val="clear" w:color="auto" w:fill="FFFFFF" w:themeFill="background1"/>
        <w:spacing w:line="240" w:lineRule="auto"/>
        <w:ind w:left="720" w:hanging="720"/>
        <w:jc w:val="both"/>
        <w:rPr>
          <w:rFonts w:ascii="Arial" w:hAnsi="Arial" w:cs="Arial"/>
        </w:rPr>
      </w:pPr>
      <w:r w:rsidRPr="0092423C">
        <w:rPr>
          <w:rFonts w:ascii="Arial" w:hAnsi="Arial" w:cs="Arial"/>
        </w:rPr>
        <w:t>3.1.1</w:t>
      </w:r>
    </w:p>
    <w:tbl>
      <w:tblPr>
        <w:tblStyle w:val="TableGrid"/>
        <w:tblW w:w="0" w:type="auto"/>
        <w:tblInd w:w="817" w:type="dxa"/>
        <w:tblLook w:val="04A0" w:firstRow="1" w:lastRow="0" w:firstColumn="1" w:lastColumn="0" w:noHBand="0" w:noVBand="1"/>
      </w:tblPr>
      <w:tblGrid>
        <w:gridCol w:w="4911"/>
        <w:gridCol w:w="1451"/>
        <w:gridCol w:w="1440"/>
      </w:tblGrid>
      <w:tr w:rsidR="00AD44CB" w:rsidRPr="0092423C" w14:paraId="164DFB5B" w14:textId="77777777" w:rsidTr="00AD44CB">
        <w:trPr>
          <w:gridAfter w:val="1"/>
          <w:wAfter w:w="1440" w:type="dxa"/>
          <w:trHeight w:val="357"/>
        </w:trPr>
        <w:tc>
          <w:tcPr>
            <w:tcW w:w="4911" w:type="dxa"/>
            <w:vMerge w:val="restart"/>
            <w:tcBorders>
              <w:top w:val="single" w:sz="4" w:space="0" w:color="auto"/>
              <w:left w:val="single" w:sz="4" w:space="0" w:color="auto"/>
              <w:bottom w:val="single" w:sz="4" w:space="0" w:color="auto"/>
              <w:right w:val="single" w:sz="4" w:space="0" w:color="auto"/>
            </w:tcBorders>
            <w:vAlign w:val="center"/>
          </w:tcPr>
          <w:p w14:paraId="6861B085" w14:textId="77777777" w:rsidR="00AD44CB" w:rsidRPr="0092423C" w:rsidRDefault="00AD44CB">
            <w:pPr>
              <w:pStyle w:val="NoSpacing"/>
              <w:shd w:val="clear" w:color="auto" w:fill="FFFFFF" w:themeFill="background1"/>
              <w:spacing w:after="200"/>
              <w:jc w:val="both"/>
              <w:rPr>
                <w:rFonts w:ascii="Arial" w:hAnsi="Arial" w:cs="Arial"/>
                <w:b/>
              </w:rPr>
            </w:pPr>
          </w:p>
          <w:p w14:paraId="06BDC93E" w14:textId="77777777" w:rsidR="00AD44CB" w:rsidRPr="0092423C" w:rsidRDefault="00AD44CB">
            <w:pPr>
              <w:pStyle w:val="NoSpacing"/>
              <w:shd w:val="clear" w:color="auto" w:fill="FFFFFF" w:themeFill="background1"/>
              <w:spacing w:after="200"/>
              <w:jc w:val="both"/>
              <w:rPr>
                <w:rFonts w:ascii="Arial" w:hAnsi="Arial" w:cs="Arial"/>
                <w:b/>
              </w:rPr>
            </w:pPr>
            <w:r w:rsidRPr="0092423C">
              <w:rPr>
                <w:rFonts w:ascii="Arial" w:hAnsi="Arial" w:cs="Arial"/>
                <w:b/>
              </w:rPr>
              <w:t>Firefighters’ Pension Schemes Membership</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9DE0AB8" w14:textId="77777777" w:rsidR="00AD44CB" w:rsidRPr="0092423C" w:rsidRDefault="00AD44CB">
            <w:pPr>
              <w:pStyle w:val="NoSpacing"/>
              <w:shd w:val="clear" w:color="auto" w:fill="FFFFFF" w:themeFill="background1"/>
              <w:spacing w:after="200"/>
              <w:jc w:val="both"/>
              <w:rPr>
                <w:rFonts w:ascii="Arial" w:hAnsi="Arial" w:cs="Arial"/>
                <w:b/>
              </w:rPr>
            </w:pPr>
            <w:r w:rsidRPr="0092423C">
              <w:rPr>
                <w:rFonts w:ascii="Arial" w:hAnsi="Arial" w:cs="Arial"/>
                <w:b/>
              </w:rPr>
              <w:t>Wholetime</w:t>
            </w:r>
          </w:p>
        </w:tc>
      </w:tr>
      <w:tr w:rsidR="008F5E1C" w:rsidRPr="0092423C" w14:paraId="253DA75F" w14:textId="77777777" w:rsidTr="008F5E1C">
        <w:trPr>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0829D" w14:textId="77777777" w:rsidR="008F5E1C" w:rsidRPr="0092423C" w:rsidRDefault="008F5E1C" w:rsidP="008F5E1C">
            <w:pPr>
              <w:rPr>
                <w:rFonts w:ascii="Arial" w:hAnsi="Arial" w:cs="Arial"/>
                <w:b/>
              </w:rPr>
            </w:pPr>
          </w:p>
        </w:tc>
        <w:tc>
          <w:tcPr>
            <w:tcW w:w="1451" w:type="dxa"/>
            <w:tcBorders>
              <w:top w:val="single" w:sz="4" w:space="0" w:color="auto"/>
              <w:left w:val="single" w:sz="4" w:space="0" w:color="auto"/>
              <w:bottom w:val="single" w:sz="4" w:space="0" w:color="auto"/>
              <w:right w:val="single" w:sz="4" w:space="0" w:color="auto"/>
            </w:tcBorders>
            <w:vAlign w:val="center"/>
          </w:tcPr>
          <w:p w14:paraId="368F8F7C" w14:textId="42D0F65C" w:rsidR="008F5E1C" w:rsidRPr="0092423C" w:rsidRDefault="00FB0821" w:rsidP="008F5E1C">
            <w:pPr>
              <w:pStyle w:val="NoSpacing"/>
              <w:shd w:val="clear" w:color="auto" w:fill="FFFFFF" w:themeFill="background1"/>
              <w:spacing w:after="200"/>
              <w:jc w:val="both"/>
              <w:rPr>
                <w:rFonts w:ascii="Arial" w:hAnsi="Arial" w:cs="Arial"/>
                <w:b/>
                <w:bCs/>
              </w:rPr>
            </w:pPr>
            <w:r w:rsidRPr="0092423C">
              <w:rPr>
                <w:rFonts w:ascii="Arial" w:hAnsi="Arial" w:cs="Arial"/>
                <w:b/>
                <w:bCs/>
              </w:rPr>
              <w:t>15/01/2021</w:t>
            </w:r>
          </w:p>
        </w:tc>
        <w:tc>
          <w:tcPr>
            <w:tcW w:w="1440" w:type="dxa"/>
            <w:tcBorders>
              <w:top w:val="single" w:sz="4" w:space="0" w:color="auto"/>
              <w:left w:val="single" w:sz="4" w:space="0" w:color="auto"/>
              <w:bottom w:val="single" w:sz="4" w:space="0" w:color="auto"/>
              <w:right w:val="single" w:sz="4" w:space="0" w:color="auto"/>
            </w:tcBorders>
            <w:vAlign w:val="center"/>
          </w:tcPr>
          <w:p w14:paraId="3C8068B4" w14:textId="415DC4F5" w:rsidR="008F5E1C" w:rsidRPr="0092423C" w:rsidRDefault="008F5E1C" w:rsidP="008F5E1C">
            <w:pPr>
              <w:pStyle w:val="NoSpacing"/>
              <w:shd w:val="clear" w:color="auto" w:fill="FFFFFF" w:themeFill="background1"/>
              <w:spacing w:after="200"/>
              <w:jc w:val="both"/>
              <w:rPr>
                <w:rFonts w:ascii="Arial" w:hAnsi="Arial" w:cs="Arial"/>
                <w:b/>
              </w:rPr>
            </w:pPr>
            <w:r w:rsidRPr="0092423C">
              <w:rPr>
                <w:rFonts w:ascii="Arial" w:hAnsi="Arial" w:cs="Arial"/>
                <w:b/>
                <w:bCs/>
              </w:rPr>
              <w:t>23/10/2020</w:t>
            </w:r>
          </w:p>
        </w:tc>
      </w:tr>
      <w:tr w:rsidR="008F5E1C" w:rsidRPr="0092423C" w14:paraId="0FBD10A5" w14:textId="77777777" w:rsidTr="008F5E1C">
        <w:trPr>
          <w:trHeight w:val="284"/>
        </w:trPr>
        <w:tc>
          <w:tcPr>
            <w:tcW w:w="4911" w:type="dxa"/>
            <w:tcBorders>
              <w:top w:val="single" w:sz="4" w:space="0" w:color="auto"/>
              <w:left w:val="single" w:sz="4" w:space="0" w:color="auto"/>
              <w:bottom w:val="single" w:sz="4" w:space="0" w:color="auto"/>
              <w:right w:val="single" w:sz="4" w:space="0" w:color="auto"/>
            </w:tcBorders>
            <w:vAlign w:val="center"/>
            <w:hideMark/>
          </w:tcPr>
          <w:p w14:paraId="494AA328" w14:textId="77777777" w:rsidR="008F5E1C" w:rsidRPr="0092423C" w:rsidRDefault="008F5E1C" w:rsidP="008F5E1C">
            <w:pPr>
              <w:pStyle w:val="NoSpacing"/>
              <w:shd w:val="clear" w:color="auto" w:fill="FFFFFF" w:themeFill="background1"/>
              <w:spacing w:after="200"/>
              <w:ind w:left="-817" w:firstLine="817"/>
              <w:jc w:val="both"/>
              <w:rPr>
                <w:rFonts w:ascii="Arial" w:hAnsi="Arial" w:cs="Arial"/>
              </w:rPr>
            </w:pPr>
            <w:r w:rsidRPr="0092423C">
              <w:rPr>
                <w:rFonts w:ascii="Arial" w:hAnsi="Arial" w:cs="Arial"/>
              </w:rPr>
              <w:t>1992</w:t>
            </w:r>
          </w:p>
        </w:tc>
        <w:tc>
          <w:tcPr>
            <w:tcW w:w="1451" w:type="dxa"/>
            <w:tcBorders>
              <w:top w:val="single" w:sz="4" w:space="0" w:color="auto"/>
              <w:left w:val="single" w:sz="4" w:space="0" w:color="auto"/>
              <w:bottom w:val="single" w:sz="4" w:space="0" w:color="auto"/>
              <w:right w:val="single" w:sz="4" w:space="0" w:color="auto"/>
            </w:tcBorders>
            <w:vAlign w:val="center"/>
          </w:tcPr>
          <w:p w14:paraId="4F61FF7C" w14:textId="0E8B2529" w:rsidR="008F5E1C" w:rsidRPr="0092423C" w:rsidRDefault="00403171" w:rsidP="008F5E1C">
            <w:pPr>
              <w:pStyle w:val="NoSpacing"/>
              <w:shd w:val="clear" w:color="auto" w:fill="FFFFFF" w:themeFill="background1"/>
              <w:spacing w:after="200"/>
              <w:jc w:val="both"/>
              <w:rPr>
                <w:rFonts w:ascii="Arial" w:hAnsi="Arial" w:cs="Arial"/>
              </w:rPr>
            </w:pPr>
            <w:r w:rsidRPr="0092423C">
              <w:rPr>
                <w:rFonts w:ascii="Arial" w:hAnsi="Arial" w:cs="Arial"/>
              </w:rPr>
              <w:t>28</w:t>
            </w:r>
          </w:p>
        </w:tc>
        <w:tc>
          <w:tcPr>
            <w:tcW w:w="1440" w:type="dxa"/>
            <w:tcBorders>
              <w:top w:val="single" w:sz="4" w:space="0" w:color="auto"/>
              <w:left w:val="single" w:sz="4" w:space="0" w:color="auto"/>
              <w:bottom w:val="single" w:sz="4" w:space="0" w:color="auto"/>
              <w:right w:val="single" w:sz="4" w:space="0" w:color="auto"/>
            </w:tcBorders>
            <w:vAlign w:val="center"/>
          </w:tcPr>
          <w:p w14:paraId="7D931C99" w14:textId="4559AF6A" w:rsidR="008F5E1C" w:rsidRPr="0092423C" w:rsidRDefault="008F5E1C" w:rsidP="008F5E1C">
            <w:pPr>
              <w:pStyle w:val="NoSpacing"/>
              <w:shd w:val="clear" w:color="auto" w:fill="FFFFFF" w:themeFill="background1"/>
              <w:spacing w:after="200"/>
              <w:jc w:val="both"/>
              <w:rPr>
                <w:rFonts w:ascii="Arial" w:hAnsi="Arial" w:cs="Arial"/>
              </w:rPr>
            </w:pPr>
            <w:r w:rsidRPr="0092423C">
              <w:rPr>
                <w:rFonts w:ascii="Arial" w:hAnsi="Arial" w:cs="Arial"/>
              </w:rPr>
              <w:t>32</w:t>
            </w:r>
          </w:p>
        </w:tc>
      </w:tr>
      <w:tr w:rsidR="008F5E1C" w:rsidRPr="0092423C" w14:paraId="5F5BE7FB" w14:textId="77777777" w:rsidTr="008F5E1C">
        <w:trPr>
          <w:trHeight w:val="284"/>
        </w:trPr>
        <w:tc>
          <w:tcPr>
            <w:tcW w:w="4911" w:type="dxa"/>
            <w:tcBorders>
              <w:top w:val="single" w:sz="4" w:space="0" w:color="auto"/>
              <w:left w:val="single" w:sz="4" w:space="0" w:color="auto"/>
              <w:bottom w:val="single" w:sz="4" w:space="0" w:color="auto"/>
              <w:right w:val="single" w:sz="4" w:space="0" w:color="auto"/>
            </w:tcBorders>
            <w:vAlign w:val="center"/>
            <w:hideMark/>
          </w:tcPr>
          <w:p w14:paraId="6334558B" w14:textId="77777777" w:rsidR="008F5E1C" w:rsidRPr="0092423C" w:rsidRDefault="008F5E1C" w:rsidP="008F5E1C">
            <w:pPr>
              <w:pStyle w:val="NoSpacing"/>
              <w:shd w:val="clear" w:color="auto" w:fill="FFFFFF" w:themeFill="background1"/>
              <w:spacing w:after="200"/>
              <w:jc w:val="both"/>
              <w:rPr>
                <w:rFonts w:ascii="Arial" w:hAnsi="Arial" w:cs="Arial"/>
              </w:rPr>
            </w:pPr>
            <w:r w:rsidRPr="0092423C">
              <w:rPr>
                <w:rFonts w:ascii="Arial" w:hAnsi="Arial" w:cs="Arial"/>
              </w:rPr>
              <w:t>2006</w:t>
            </w:r>
          </w:p>
        </w:tc>
        <w:tc>
          <w:tcPr>
            <w:tcW w:w="1451" w:type="dxa"/>
            <w:tcBorders>
              <w:top w:val="single" w:sz="4" w:space="0" w:color="auto"/>
              <w:left w:val="single" w:sz="4" w:space="0" w:color="auto"/>
              <w:bottom w:val="single" w:sz="4" w:space="0" w:color="auto"/>
              <w:right w:val="single" w:sz="4" w:space="0" w:color="auto"/>
            </w:tcBorders>
            <w:vAlign w:val="center"/>
          </w:tcPr>
          <w:p w14:paraId="69C299E6" w14:textId="3D855F92" w:rsidR="008F5E1C" w:rsidRPr="0092423C" w:rsidRDefault="002901B2" w:rsidP="008F5E1C">
            <w:pPr>
              <w:pStyle w:val="NoSpacing"/>
              <w:shd w:val="clear" w:color="auto" w:fill="FFFFFF" w:themeFill="background1"/>
              <w:spacing w:after="200"/>
              <w:jc w:val="both"/>
              <w:rPr>
                <w:rFonts w:ascii="Arial" w:hAnsi="Arial" w:cs="Arial"/>
              </w:rPr>
            </w:pPr>
            <w:r w:rsidRPr="0092423C">
              <w:rPr>
                <w:rFonts w:ascii="Arial" w:hAnsi="Arial" w:cs="Arial"/>
              </w:rPr>
              <w:t>2</w:t>
            </w:r>
          </w:p>
        </w:tc>
        <w:tc>
          <w:tcPr>
            <w:tcW w:w="1440" w:type="dxa"/>
            <w:tcBorders>
              <w:top w:val="single" w:sz="4" w:space="0" w:color="auto"/>
              <w:left w:val="single" w:sz="4" w:space="0" w:color="auto"/>
              <w:bottom w:val="single" w:sz="4" w:space="0" w:color="auto"/>
              <w:right w:val="single" w:sz="4" w:space="0" w:color="auto"/>
            </w:tcBorders>
            <w:vAlign w:val="center"/>
          </w:tcPr>
          <w:p w14:paraId="6996F5AD" w14:textId="1CAB4921" w:rsidR="008F5E1C" w:rsidRPr="0092423C" w:rsidRDefault="008F5E1C" w:rsidP="008F5E1C">
            <w:pPr>
              <w:pStyle w:val="NoSpacing"/>
              <w:shd w:val="clear" w:color="auto" w:fill="FFFFFF" w:themeFill="background1"/>
              <w:spacing w:after="200"/>
              <w:jc w:val="both"/>
              <w:rPr>
                <w:rFonts w:ascii="Arial" w:hAnsi="Arial" w:cs="Arial"/>
              </w:rPr>
            </w:pPr>
            <w:r w:rsidRPr="0092423C">
              <w:rPr>
                <w:rFonts w:ascii="Arial" w:hAnsi="Arial" w:cs="Arial"/>
              </w:rPr>
              <w:t>2</w:t>
            </w:r>
          </w:p>
        </w:tc>
      </w:tr>
      <w:tr w:rsidR="008F5E1C" w:rsidRPr="0092423C" w14:paraId="5E64BD6C" w14:textId="77777777" w:rsidTr="008F5E1C">
        <w:trPr>
          <w:trHeight w:val="284"/>
        </w:trPr>
        <w:tc>
          <w:tcPr>
            <w:tcW w:w="4911" w:type="dxa"/>
            <w:tcBorders>
              <w:top w:val="single" w:sz="4" w:space="0" w:color="auto"/>
              <w:left w:val="single" w:sz="4" w:space="0" w:color="auto"/>
              <w:bottom w:val="single" w:sz="4" w:space="0" w:color="auto"/>
              <w:right w:val="single" w:sz="4" w:space="0" w:color="auto"/>
            </w:tcBorders>
            <w:vAlign w:val="center"/>
            <w:hideMark/>
          </w:tcPr>
          <w:p w14:paraId="63DF64DE" w14:textId="77777777" w:rsidR="008F5E1C" w:rsidRPr="0092423C" w:rsidRDefault="008F5E1C" w:rsidP="008F5E1C">
            <w:pPr>
              <w:pStyle w:val="NoSpacing"/>
              <w:shd w:val="clear" w:color="auto" w:fill="FFFFFF" w:themeFill="background1"/>
              <w:spacing w:after="200"/>
              <w:jc w:val="both"/>
              <w:rPr>
                <w:rFonts w:ascii="Arial" w:hAnsi="Arial" w:cs="Arial"/>
              </w:rPr>
            </w:pPr>
            <w:r w:rsidRPr="0092423C">
              <w:rPr>
                <w:rFonts w:ascii="Arial" w:hAnsi="Arial" w:cs="Arial"/>
              </w:rPr>
              <w:t>2015</w:t>
            </w:r>
          </w:p>
        </w:tc>
        <w:tc>
          <w:tcPr>
            <w:tcW w:w="1451" w:type="dxa"/>
            <w:tcBorders>
              <w:top w:val="single" w:sz="4" w:space="0" w:color="auto"/>
              <w:left w:val="single" w:sz="4" w:space="0" w:color="auto"/>
              <w:bottom w:val="single" w:sz="4" w:space="0" w:color="auto"/>
              <w:right w:val="single" w:sz="4" w:space="0" w:color="auto"/>
            </w:tcBorders>
            <w:vAlign w:val="center"/>
          </w:tcPr>
          <w:p w14:paraId="0C2D8CF1" w14:textId="486A858F" w:rsidR="008F5E1C" w:rsidRPr="0092423C" w:rsidRDefault="00E578B7" w:rsidP="008F5E1C">
            <w:pPr>
              <w:pStyle w:val="NoSpacing"/>
              <w:shd w:val="clear" w:color="auto" w:fill="FFFFFF" w:themeFill="background1"/>
              <w:spacing w:after="200"/>
              <w:jc w:val="both"/>
              <w:rPr>
                <w:rFonts w:ascii="Arial" w:hAnsi="Arial" w:cs="Arial"/>
              </w:rPr>
            </w:pPr>
            <w:r w:rsidRPr="0092423C">
              <w:rPr>
                <w:rFonts w:ascii="Arial" w:hAnsi="Arial" w:cs="Arial"/>
              </w:rPr>
              <w:t>254</w:t>
            </w:r>
          </w:p>
        </w:tc>
        <w:tc>
          <w:tcPr>
            <w:tcW w:w="1440" w:type="dxa"/>
            <w:tcBorders>
              <w:top w:val="single" w:sz="4" w:space="0" w:color="auto"/>
              <w:left w:val="single" w:sz="4" w:space="0" w:color="auto"/>
              <w:bottom w:val="single" w:sz="4" w:space="0" w:color="auto"/>
              <w:right w:val="single" w:sz="4" w:space="0" w:color="auto"/>
            </w:tcBorders>
            <w:vAlign w:val="center"/>
          </w:tcPr>
          <w:p w14:paraId="4A84A96E" w14:textId="722145BC" w:rsidR="008F5E1C" w:rsidRPr="0092423C" w:rsidRDefault="008F5E1C" w:rsidP="008F5E1C">
            <w:pPr>
              <w:pStyle w:val="NoSpacing"/>
              <w:shd w:val="clear" w:color="auto" w:fill="FFFFFF" w:themeFill="background1"/>
              <w:spacing w:after="200"/>
              <w:jc w:val="both"/>
              <w:rPr>
                <w:rFonts w:ascii="Arial" w:hAnsi="Arial" w:cs="Arial"/>
              </w:rPr>
            </w:pPr>
            <w:r w:rsidRPr="0092423C">
              <w:rPr>
                <w:rFonts w:ascii="Arial" w:hAnsi="Arial" w:cs="Arial"/>
              </w:rPr>
              <w:t>254</w:t>
            </w:r>
          </w:p>
        </w:tc>
      </w:tr>
      <w:tr w:rsidR="008F5E1C" w:rsidRPr="0092423C" w14:paraId="17D6BCFB" w14:textId="77777777" w:rsidTr="008F5E1C">
        <w:trPr>
          <w:trHeight w:val="284"/>
        </w:trPr>
        <w:tc>
          <w:tcPr>
            <w:tcW w:w="4911" w:type="dxa"/>
            <w:tcBorders>
              <w:top w:val="single" w:sz="4" w:space="0" w:color="auto"/>
              <w:left w:val="single" w:sz="4" w:space="0" w:color="auto"/>
              <w:bottom w:val="single" w:sz="4" w:space="0" w:color="auto"/>
              <w:right w:val="single" w:sz="4" w:space="0" w:color="auto"/>
            </w:tcBorders>
            <w:vAlign w:val="center"/>
            <w:hideMark/>
          </w:tcPr>
          <w:p w14:paraId="59C3B79E" w14:textId="77777777" w:rsidR="008F5E1C" w:rsidRPr="0092423C" w:rsidRDefault="008F5E1C" w:rsidP="008F5E1C">
            <w:pPr>
              <w:pStyle w:val="NoSpacing"/>
              <w:shd w:val="clear" w:color="auto" w:fill="FFFFFF" w:themeFill="background1"/>
              <w:spacing w:after="200"/>
              <w:jc w:val="both"/>
              <w:rPr>
                <w:rFonts w:ascii="Arial" w:hAnsi="Arial" w:cs="Arial"/>
              </w:rPr>
            </w:pPr>
            <w:r w:rsidRPr="0092423C">
              <w:rPr>
                <w:rFonts w:ascii="Arial" w:hAnsi="Arial" w:cs="Arial"/>
              </w:rPr>
              <w:t>Retained Modified</w:t>
            </w:r>
          </w:p>
        </w:tc>
        <w:tc>
          <w:tcPr>
            <w:tcW w:w="1451" w:type="dxa"/>
            <w:tcBorders>
              <w:top w:val="single" w:sz="4" w:space="0" w:color="auto"/>
              <w:left w:val="single" w:sz="4" w:space="0" w:color="auto"/>
              <w:bottom w:val="single" w:sz="4" w:space="0" w:color="auto"/>
              <w:right w:val="single" w:sz="4" w:space="0" w:color="auto"/>
            </w:tcBorders>
            <w:vAlign w:val="center"/>
          </w:tcPr>
          <w:p w14:paraId="44680B01" w14:textId="30C246A0" w:rsidR="008F5E1C" w:rsidRPr="0092423C" w:rsidRDefault="00F61436" w:rsidP="008F5E1C">
            <w:pPr>
              <w:pStyle w:val="NoSpacing"/>
              <w:shd w:val="clear" w:color="auto" w:fill="FFFFFF" w:themeFill="background1"/>
              <w:spacing w:after="200"/>
              <w:jc w:val="both"/>
              <w:rPr>
                <w:rFonts w:ascii="Arial" w:hAnsi="Arial" w:cs="Arial"/>
              </w:rPr>
            </w:pPr>
            <w:r w:rsidRPr="0092423C">
              <w:rPr>
                <w:rFonts w:ascii="Arial" w:hAnsi="Arial" w:cs="Arial"/>
              </w:rPr>
              <w:t>2</w:t>
            </w:r>
          </w:p>
        </w:tc>
        <w:tc>
          <w:tcPr>
            <w:tcW w:w="1440" w:type="dxa"/>
            <w:tcBorders>
              <w:top w:val="single" w:sz="4" w:space="0" w:color="auto"/>
              <w:left w:val="single" w:sz="4" w:space="0" w:color="auto"/>
              <w:bottom w:val="single" w:sz="4" w:space="0" w:color="auto"/>
              <w:right w:val="single" w:sz="4" w:space="0" w:color="auto"/>
            </w:tcBorders>
            <w:vAlign w:val="center"/>
          </w:tcPr>
          <w:p w14:paraId="667B00B3" w14:textId="017D39D5" w:rsidR="008F5E1C" w:rsidRPr="0092423C" w:rsidRDefault="008F5E1C" w:rsidP="008F5E1C">
            <w:pPr>
              <w:pStyle w:val="NoSpacing"/>
              <w:shd w:val="clear" w:color="auto" w:fill="FFFFFF" w:themeFill="background1"/>
              <w:spacing w:after="200"/>
              <w:jc w:val="both"/>
              <w:rPr>
                <w:rFonts w:ascii="Arial" w:hAnsi="Arial" w:cs="Arial"/>
              </w:rPr>
            </w:pPr>
            <w:r w:rsidRPr="0092423C">
              <w:rPr>
                <w:rFonts w:ascii="Arial" w:hAnsi="Arial" w:cs="Arial"/>
              </w:rPr>
              <w:t>3</w:t>
            </w:r>
          </w:p>
        </w:tc>
      </w:tr>
      <w:tr w:rsidR="008F5E1C" w:rsidRPr="0092423C" w14:paraId="61F9A259" w14:textId="77777777" w:rsidTr="008F5E1C">
        <w:trPr>
          <w:trHeight w:val="284"/>
        </w:trPr>
        <w:tc>
          <w:tcPr>
            <w:tcW w:w="4911" w:type="dxa"/>
            <w:tcBorders>
              <w:top w:val="single" w:sz="4" w:space="0" w:color="auto"/>
              <w:left w:val="single" w:sz="4" w:space="0" w:color="auto"/>
              <w:bottom w:val="single" w:sz="4" w:space="0" w:color="auto"/>
              <w:right w:val="single" w:sz="4" w:space="0" w:color="auto"/>
            </w:tcBorders>
            <w:vAlign w:val="center"/>
            <w:hideMark/>
          </w:tcPr>
          <w:p w14:paraId="241C9684" w14:textId="77777777" w:rsidR="008F5E1C" w:rsidRPr="0092423C" w:rsidRDefault="008F5E1C" w:rsidP="008F5E1C">
            <w:pPr>
              <w:pStyle w:val="NoSpacing"/>
              <w:shd w:val="clear" w:color="auto" w:fill="FFFFFF" w:themeFill="background1"/>
              <w:spacing w:after="200"/>
              <w:jc w:val="both"/>
              <w:rPr>
                <w:rFonts w:ascii="Arial" w:hAnsi="Arial" w:cs="Arial"/>
                <w:bCs/>
              </w:rPr>
            </w:pPr>
            <w:r w:rsidRPr="0092423C">
              <w:rPr>
                <w:rFonts w:ascii="Arial" w:hAnsi="Arial" w:cs="Arial"/>
                <w:bCs/>
              </w:rPr>
              <w:t>Opted Out</w:t>
            </w:r>
          </w:p>
        </w:tc>
        <w:tc>
          <w:tcPr>
            <w:tcW w:w="1451" w:type="dxa"/>
            <w:tcBorders>
              <w:top w:val="single" w:sz="4" w:space="0" w:color="auto"/>
              <w:left w:val="single" w:sz="4" w:space="0" w:color="auto"/>
              <w:bottom w:val="single" w:sz="4" w:space="0" w:color="auto"/>
              <w:right w:val="single" w:sz="4" w:space="0" w:color="auto"/>
            </w:tcBorders>
            <w:vAlign w:val="center"/>
          </w:tcPr>
          <w:p w14:paraId="77C71BAB" w14:textId="1BCD2BAD" w:rsidR="008F5E1C" w:rsidRPr="0092423C" w:rsidRDefault="009B385E" w:rsidP="008F5E1C">
            <w:pPr>
              <w:pStyle w:val="NoSpacing"/>
              <w:shd w:val="clear" w:color="auto" w:fill="FFFFFF" w:themeFill="background1"/>
              <w:spacing w:after="200"/>
              <w:jc w:val="both"/>
              <w:rPr>
                <w:rFonts w:ascii="Arial" w:hAnsi="Arial" w:cs="Arial"/>
                <w:bCs/>
              </w:rPr>
            </w:pPr>
            <w:r w:rsidRPr="0092423C">
              <w:rPr>
                <w:rFonts w:ascii="Arial" w:hAnsi="Arial" w:cs="Arial"/>
                <w:bCs/>
              </w:rPr>
              <w:t>1</w:t>
            </w:r>
            <w:r w:rsidR="00AE1016" w:rsidRPr="0092423C">
              <w:rPr>
                <w:rFonts w:ascii="Arial" w:hAnsi="Arial" w:cs="Arial"/>
                <w:bCs/>
              </w:rPr>
              <w:t>4</w:t>
            </w:r>
            <w:r w:rsidR="00887B97" w:rsidRPr="0092423C">
              <w:rPr>
                <w:rFonts w:ascii="Arial" w:hAnsi="Arial" w:cs="Arial"/>
                <w:bCs/>
              </w:rPr>
              <w:t xml:space="preserve"> (4.65%)</w:t>
            </w:r>
          </w:p>
        </w:tc>
        <w:tc>
          <w:tcPr>
            <w:tcW w:w="1440" w:type="dxa"/>
            <w:tcBorders>
              <w:top w:val="single" w:sz="4" w:space="0" w:color="auto"/>
              <w:left w:val="single" w:sz="4" w:space="0" w:color="auto"/>
              <w:bottom w:val="single" w:sz="4" w:space="0" w:color="auto"/>
              <w:right w:val="single" w:sz="4" w:space="0" w:color="auto"/>
            </w:tcBorders>
            <w:vAlign w:val="center"/>
          </w:tcPr>
          <w:p w14:paraId="2C7D6788" w14:textId="6DACC70F" w:rsidR="008F5E1C" w:rsidRPr="0092423C" w:rsidRDefault="008F5E1C" w:rsidP="008F5E1C">
            <w:pPr>
              <w:pStyle w:val="NoSpacing"/>
              <w:shd w:val="clear" w:color="auto" w:fill="FFFFFF" w:themeFill="background1"/>
              <w:spacing w:after="200"/>
              <w:jc w:val="both"/>
              <w:rPr>
                <w:rFonts w:ascii="Arial" w:hAnsi="Arial" w:cs="Arial"/>
                <w:bCs/>
              </w:rPr>
            </w:pPr>
            <w:r w:rsidRPr="0092423C">
              <w:rPr>
                <w:rFonts w:ascii="Arial" w:hAnsi="Arial" w:cs="Arial"/>
                <w:bCs/>
              </w:rPr>
              <w:t>1</w:t>
            </w:r>
            <w:r w:rsidR="00AE1016" w:rsidRPr="0092423C">
              <w:rPr>
                <w:rFonts w:ascii="Arial" w:hAnsi="Arial" w:cs="Arial"/>
                <w:bCs/>
              </w:rPr>
              <w:t>0</w:t>
            </w:r>
            <w:r w:rsidRPr="0092423C">
              <w:rPr>
                <w:rFonts w:ascii="Arial" w:hAnsi="Arial" w:cs="Arial"/>
                <w:bCs/>
              </w:rPr>
              <w:t xml:space="preserve"> (3.62%)</w:t>
            </w:r>
          </w:p>
        </w:tc>
      </w:tr>
    </w:tbl>
    <w:p w14:paraId="40D61749" w14:textId="77777777" w:rsidR="00AD44CB" w:rsidRPr="0092423C" w:rsidRDefault="00AD44CB" w:rsidP="00AD44CB">
      <w:pPr>
        <w:pStyle w:val="NoSpacing"/>
        <w:shd w:val="clear" w:color="auto" w:fill="FFFFFF" w:themeFill="background1"/>
        <w:spacing w:after="200"/>
        <w:jc w:val="both"/>
        <w:rPr>
          <w:rFonts w:ascii="Arial" w:hAnsi="Arial" w:cs="Arial"/>
        </w:rPr>
      </w:pPr>
    </w:p>
    <w:p w14:paraId="70481506" w14:textId="77777777" w:rsidR="00AD44CB" w:rsidRPr="0092423C" w:rsidRDefault="00AD44CB" w:rsidP="00AD44CB">
      <w:pPr>
        <w:pStyle w:val="NoSpacing"/>
        <w:spacing w:after="200"/>
        <w:ind w:left="709" w:hanging="709"/>
        <w:jc w:val="both"/>
        <w:rPr>
          <w:rFonts w:ascii="Arial" w:hAnsi="Arial" w:cs="Arial"/>
        </w:rPr>
      </w:pPr>
      <w:r w:rsidRPr="0092423C">
        <w:rPr>
          <w:rFonts w:ascii="Arial" w:hAnsi="Arial" w:cs="Arial"/>
        </w:rPr>
        <w:t>3.1.2</w:t>
      </w:r>
      <w:r w:rsidRPr="0092423C">
        <w:rPr>
          <w:rFonts w:ascii="Arial" w:hAnsi="Arial" w:cs="Arial"/>
        </w:rPr>
        <w:tab/>
        <w:t>The variations for wholetime membership are as follows:</w:t>
      </w:r>
    </w:p>
    <w:p w14:paraId="185B684A" w14:textId="46F384EC" w:rsidR="00AD44CB" w:rsidRPr="0092423C" w:rsidRDefault="00AD44CB" w:rsidP="000F156E">
      <w:pPr>
        <w:pStyle w:val="NoSpacing"/>
        <w:numPr>
          <w:ilvl w:val="0"/>
          <w:numId w:val="39"/>
        </w:numPr>
        <w:jc w:val="both"/>
        <w:rPr>
          <w:rFonts w:ascii="Arial" w:hAnsi="Arial" w:cs="Arial"/>
          <w:b/>
        </w:rPr>
      </w:pPr>
      <w:r w:rsidRPr="0092423C">
        <w:rPr>
          <w:rFonts w:ascii="Arial" w:hAnsi="Arial" w:cs="Arial"/>
          <w:b/>
        </w:rPr>
        <w:t>1992 scheme</w:t>
      </w:r>
      <w:r w:rsidRPr="0092423C">
        <w:rPr>
          <w:rFonts w:ascii="Arial" w:hAnsi="Arial" w:cs="Arial"/>
          <w:b/>
        </w:rPr>
        <w:tab/>
      </w:r>
      <w:r w:rsidRPr="0092423C">
        <w:rPr>
          <w:rFonts w:ascii="Arial" w:hAnsi="Arial" w:cs="Arial"/>
          <w:b/>
        </w:rPr>
        <w:tab/>
      </w:r>
      <w:r w:rsidR="00D36B09" w:rsidRPr="0092423C">
        <w:rPr>
          <w:rFonts w:ascii="Arial" w:hAnsi="Arial" w:cs="Arial"/>
          <w:bCs/>
        </w:rPr>
        <w:t xml:space="preserve">2 </w:t>
      </w:r>
      <w:r w:rsidRPr="0092423C">
        <w:rPr>
          <w:rFonts w:ascii="Arial" w:hAnsi="Arial" w:cs="Arial"/>
        </w:rPr>
        <w:t>retirements</w:t>
      </w:r>
    </w:p>
    <w:p w14:paraId="59622C02" w14:textId="153FAD99" w:rsidR="00D36B09" w:rsidRPr="0092423C" w:rsidRDefault="00D36B09" w:rsidP="000F156E">
      <w:pPr>
        <w:pStyle w:val="NoSpacing"/>
        <w:ind w:left="2880"/>
        <w:jc w:val="both"/>
        <w:rPr>
          <w:rFonts w:ascii="Arial" w:hAnsi="Arial" w:cs="Arial"/>
          <w:bCs/>
        </w:rPr>
      </w:pPr>
      <w:r w:rsidRPr="0092423C">
        <w:rPr>
          <w:rFonts w:ascii="Arial" w:hAnsi="Arial" w:cs="Arial"/>
          <w:bCs/>
        </w:rPr>
        <w:t xml:space="preserve">2 transitions into </w:t>
      </w:r>
      <w:r w:rsidR="00EE208D" w:rsidRPr="0092423C">
        <w:rPr>
          <w:rFonts w:ascii="Arial" w:hAnsi="Arial" w:cs="Arial"/>
          <w:bCs/>
        </w:rPr>
        <w:t>the 2015 scheme</w:t>
      </w:r>
    </w:p>
    <w:p w14:paraId="1A3796FB" w14:textId="77777777" w:rsidR="000F156E" w:rsidRPr="0092423C" w:rsidRDefault="000F156E" w:rsidP="000F156E">
      <w:pPr>
        <w:pStyle w:val="NoSpacing"/>
        <w:ind w:left="2880"/>
        <w:jc w:val="both"/>
        <w:rPr>
          <w:rFonts w:ascii="Arial" w:hAnsi="Arial" w:cs="Arial"/>
          <w:bCs/>
        </w:rPr>
      </w:pPr>
    </w:p>
    <w:p w14:paraId="05BCA1F3" w14:textId="77777777" w:rsidR="00AD44CB" w:rsidRPr="0092423C" w:rsidRDefault="00AD44CB" w:rsidP="00AD44CB">
      <w:pPr>
        <w:pStyle w:val="NoSpacing"/>
        <w:numPr>
          <w:ilvl w:val="0"/>
          <w:numId w:val="39"/>
        </w:numPr>
        <w:spacing w:after="200"/>
        <w:jc w:val="both"/>
        <w:rPr>
          <w:rFonts w:ascii="Arial" w:hAnsi="Arial" w:cs="Arial"/>
          <w:bCs/>
        </w:rPr>
      </w:pPr>
      <w:r w:rsidRPr="0092423C">
        <w:rPr>
          <w:rFonts w:ascii="Arial" w:hAnsi="Arial" w:cs="Arial"/>
          <w:b/>
        </w:rPr>
        <w:t>2006 scheme</w:t>
      </w:r>
      <w:r w:rsidRPr="0092423C">
        <w:rPr>
          <w:rFonts w:ascii="Arial" w:hAnsi="Arial" w:cs="Arial"/>
          <w:b/>
        </w:rPr>
        <w:tab/>
      </w:r>
      <w:r w:rsidRPr="0092423C">
        <w:rPr>
          <w:rFonts w:ascii="Arial" w:hAnsi="Arial" w:cs="Arial"/>
          <w:b/>
        </w:rPr>
        <w:tab/>
      </w:r>
      <w:r w:rsidRPr="0092423C">
        <w:rPr>
          <w:rFonts w:ascii="Arial" w:hAnsi="Arial" w:cs="Arial"/>
        </w:rPr>
        <w:t xml:space="preserve">no </w:t>
      </w:r>
      <w:proofErr w:type="gramStart"/>
      <w:r w:rsidRPr="0092423C">
        <w:rPr>
          <w:rFonts w:ascii="Arial" w:hAnsi="Arial" w:cs="Arial"/>
        </w:rPr>
        <w:t>movement</w:t>
      </w:r>
      <w:proofErr w:type="gramEnd"/>
      <w:r w:rsidRPr="0092423C">
        <w:rPr>
          <w:rFonts w:ascii="Arial" w:hAnsi="Arial" w:cs="Arial"/>
          <w:bCs/>
        </w:rPr>
        <w:t xml:space="preserve"> </w:t>
      </w:r>
    </w:p>
    <w:p w14:paraId="309D8A32" w14:textId="6F05E76D" w:rsidR="00AD44CB" w:rsidRPr="0092423C" w:rsidRDefault="00AD44CB" w:rsidP="00AD44CB">
      <w:pPr>
        <w:pStyle w:val="NoSpacing"/>
        <w:numPr>
          <w:ilvl w:val="0"/>
          <w:numId w:val="39"/>
        </w:numPr>
        <w:jc w:val="both"/>
        <w:rPr>
          <w:rFonts w:ascii="Arial" w:hAnsi="Arial" w:cs="Arial"/>
          <w:b/>
        </w:rPr>
      </w:pPr>
      <w:r w:rsidRPr="0092423C">
        <w:rPr>
          <w:rFonts w:ascii="Arial" w:hAnsi="Arial" w:cs="Arial"/>
          <w:b/>
        </w:rPr>
        <w:t>2015 scheme</w:t>
      </w:r>
      <w:r w:rsidRPr="0092423C">
        <w:rPr>
          <w:rFonts w:ascii="Arial" w:hAnsi="Arial" w:cs="Arial"/>
          <w:b/>
        </w:rPr>
        <w:tab/>
      </w:r>
      <w:r w:rsidRPr="0092423C">
        <w:rPr>
          <w:rFonts w:ascii="Arial" w:hAnsi="Arial" w:cs="Arial"/>
          <w:b/>
        </w:rPr>
        <w:tab/>
      </w:r>
      <w:r w:rsidR="00BA6117" w:rsidRPr="0092423C">
        <w:rPr>
          <w:rFonts w:ascii="Arial" w:hAnsi="Arial" w:cs="Arial"/>
          <w:bCs/>
        </w:rPr>
        <w:t>7</w:t>
      </w:r>
      <w:r w:rsidRPr="0092423C">
        <w:rPr>
          <w:rFonts w:ascii="Arial" w:hAnsi="Arial" w:cs="Arial"/>
          <w:bCs/>
        </w:rPr>
        <w:t xml:space="preserve"> </w:t>
      </w:r>
      <w:r w:rsidRPr="0092423C">
        <w:rPr>
          <w:rFonts w:ascii="Arial" w:hAnsi="Arial" w:cs="Arial"/>
        </w:rPr>
        <w:t xml:space="preserve">starters (WT recruitment, on-call staff on temporary WT or </w:t>
      </w:r>
    </w:p>
    <w:p w14:paraId="26CB6C5E" w14:textId="77777777" w:rsidR="00AD44CB" w:rsidRPr="0092423C" w:rsidRDefault="00AD44CB" w:rsidP="00AD44CB">
      <w:pPr>
        <w:pStyle w:val="NoSpacing"/>
        <w:jc w:val="both"/>
        <w:rPr>
          <w:rFonts w:ascii="Arial" w:hAnsi="Arial" w:cs="Arial"/>
          <w:b/>
        </w:rPr>
      </w:pPr>
      <w:r w:rsidRPr="0092423C">
        <w:rPr>
          <w:rFonts w:ascii="Arial" w:hAnsi="Arial" w:cs="Arial"/>
        </w:rPr>
        <w:tab/>
      </w:r>
      <w:r w:rsidRPr="0092423C">
        <w:rPr>
          <w:rFonts w:ascii="Arial" w:hAnsi="Arial" w:cs="Arial"/>
        </w:rPr>
        <w:tab/>
      </w:r>
      <w:r w:rsidRPr="0092423C">
        <w:rPr>
          <w:rFonts w:ascii="Arial" w:hAnsi="Arial" w:cs="Arial"/>
        </w:rPr>
        <w:tab/>
      </w:r>
      <w:r w:rsidRPr="0092423C">
        <w:rPr>
          <w:rFonts w:ascii="Arial" w:hAnsi="Arial" w:cs="Arial"/>
        </w:rPr>
        <w:tab/>
        <w:t>OSR posts)</w:t>
      </w:r>
    </w:p>
    <w:p w14:paraId="65092192" w14:textId="4EF02471" w:rsidR="00AD44CB" w:rsidRPr="0092423C" w:rsidRDefault="00BA6117" w:rsidP="00AD44CB">
      <w:pPr>
        <w:pStyle w:val="NoSpacing"/>
        <w:ind w:left="2880"/>
        <w:jc w:val="both"/>
        <w:rPr>
          <w:rFonts w:ascii="Arial" w:hAnsi="Arial" w:cs="Arial"/>
        </w:rPr>
      </w:pPr>
      <w:r w:rsidRPr="0092423C">
        <w:rPr>
          <w:rFonts w:ascii="Arial" w:hAnsi="Arial" w:cs="Arial"/>
        </w:rPr>
        <w:t>5</w:t>
      </w:r>
      <w:r w:rsidR="00AD44CB" w:rsidRPr="0092423C">
        <w:rPr>
          <w:rFonts w:ascii="Arial" w:hAnsi="Arial" w:cs="Arial"/>
        </w:rPr>
        <w:t xml:space="preserve"> leaver</w:t>
      </w:r>
      <w:r w:rsidRPr="0092423C">
        <w:rPr>
          <w:rFonts w:ascii="Arial" w:hAnsi="Arial" w:cs="Arial"/>
        </w:rPr>
        <w:t>s</w:t>
      </w:r>
    </w:p>
    <w:p w14:paraId="6DB2DA57" w14:textId="079CE658" w:rsidR="00BA6117" w:rsidRPr="0092423C" w:rsidRDefault="005D3145" w:rsidP="00AD44CB">
      <w:pPr>
        <w:pStyle w:val="NoSpacing"/>
        <w:ind w:left="2880"/>
        <w:jc w:val="both"/>
        <w:rPr>
          <w:rFonts w:ascii="Arial" w:hAnsi="Arial" w:cs="Arial"/>
        </w:rPr>
      </w:pPr>
      <w:r w:rsidRPr="0092423C">
        <w:rPr>
          <w:rFonts w:ascii="Arial" w:hAnsi="Arial" w:cs="Arial"/>
        </w:rPr>
        <w:t xml:space="preserve">2 transitions from the </w:t>
      </w:r>
      <w:r w:rsidR="00011C2A" w:rsidRPr="0092423C">
        <w:rPr>
          <w:rFonts w:ascii="Arial" w:hAnsi="Arial" w:cs="Arial"/>
        </w:rPr>
        <w:t xml:space="preserve">1992 </w:t>
      </w:r>
      <w:r w:rsidRPr="0092423C">
        <w:rPr>
          <w:rFonts w:ascii="Arial" w:hAnsi="Arial" w:cs="Arial"/>
        </w:rPr>
        <w:t>scheme</w:t>
      </w:r>
    </w:p>
    <w:p w14:paraId="787C952F" w14:textId="37178A80" w:rsidR="005D3145" w:rsidRPr="0092423C" w:rsidRDefault="005D3145" w:rsidP="00AD44CB">
      <w:pPr>
        <w:pStyle w:val="NoSpacing"/>
        <w:ind w:left="2880"/>
        <w:jc w:val="both"/>
        <w:rPr>
          <w:rFonts w:ascii="Arial" w:hAnsi="Arial" w:cs="Arial"/>
        </w:rPr>
      </w:pPr>
      <w:r w:rsidRPr="0092423C">
        <w:rPr>
          <w:rFonts w:ascii="Arial" w:hAnsi="Arial" w:cs="Arial"/>
        </w:rPr>
        <w:t xml:space="preserve">4 </w:t>
      </w:r>
      <w:proofErr w:type="spellStart"/>
      <w:r w:rsidR="001A0978" w:rsidRPr="0092423C">
        <w:rPr>
          <w:rFonts w:ascii="Arial" w:hAnsi="Arial" w:cs="Arial"/>
        </w:rPr>
        <w:t>Opt</w:t>
      </w:r>
      <w:proofErr w:type="spellEnd"/>
      <w:r w:rsidR="001A0978" w:rsidRPr="0092423C">
        <w:rPr>
          <w:rFonts w:ascii="Arial" w:hAnsi="Arial" w:cs="Arial"/>
        </w:rPr>
        <w:t xml:space="preserve"> </w:t>
      </w:r>
      <w:proofErr w:type="gramStart"/>
      <w:r w:rsidR="001A0978" w:rsidRPr="0092423C">
        <w:rPr>
          <w:rFonts w:ascii="Arial" w:hAnsi="Arial" w:cs="Arial"/>
        </w:rPr>
        <w:t>outs</w:t>
      </w:r>
      <w:proofErr w:type="gramEnd"/>
    </w:p>
    <w:p w14:paraId="2A59CC8F" w14:textId="4F67C9DE" w:rsidR="00AD44CB" w:rsidRPr="0092423C" w:rsidRDefault="00AD44CB" w:rsidP="00AD44CB">
      <w:pPr>
        <w:pStyle w:val="NoSpacing"/>
        <w:numPr>
          <w:ilvl w:val="0"/>
          <w:numId w:val="39"/>
        </w:numPr>
        <w:spacing w:before="240"/>
        <w:jc w:val="both"/>
        <w:rPr>
          <w:rFonts w:ascii="Arial" w:hAnsi="Arial" w:cs="Arial"/>
          <w:b/>
        </w:rPr>
      </w:pPr>
      <w:r w:rsidRPr="0092423C">
        <w:rPr>
          <w:rFonts w:ascii="Arial" w:hAnsi="Arial" w:cs="Arial"/>
          <w:b/>
        </w:rPr>
        <w:lastRenderedPageBreak/>
        <w:t>Retained modified</w:t>
      </w:r>
      <w:r w:rsidRPr="0092423C">
        <w:rPr>
          <w:rFonts w:ascii="Arial" w:hAnsi="Arial" w:cs="Arial"/>
          <w:b/>
        </w:rPr>
        <w:tab/>
      </w:r>
      <w:r w:rsidR="00F61436" w:rsidRPr="0092423C">
        <w:rPr>
          <w:rFonts w:ascii="Arial" w:hAnsi="Arial" w:cs="Arial"/>
          <w:bCs/>
        </w:rPr>
        <w:t xml:space="preserve">1 </w:t>
      </w:r>
      <w:proofErr w:type="gramStart"/>
      <w:r w:rsidR="00F61436" w:rsidRPr="0092423C">
        <w:rPr>
          <w:rFonts w:ascii="Arial" w:hAnsi="Arial" w:cs="Arial"/>
          <w:bCs/>
        </w:rPr>
        <w:t>retirement</w:t>
      </w:r>
      <w:proofErr w:type="gramEnd"/>
      <w:r w:rsidRPr="0092423C">
        <w:rPr>
          <w:rFonts w:ascii="Arial" w:hAnsi="Arial" w:cs="Arial"/>
          <w:bCs/>
        </w:rPr>
        <w:t xml:space="preserve"> </w:t>
      </w:r>
    </w:p>
    <w:p w14:paraId="520960B7" w14:textId="77777777" w:rsidR="00AD44CB" w:rsidRPr="0092423C" w:rsidRDefault="00AD44CB" w:rsidP="00AD44CB">
      <w:pPr>
        <w:pStyle w:val="NoSpacing"/>
        <w:ind w:left="720"/>
        <w:jc w:val="both"/>
        <w:rPr>
          <w:rFonts w:ascii="Arial" w:hAnsi="Arial" w:cs="Arial"/>
          <w:b/>
        </w:rPr>
      </w:pPr>
      <w:r w:rsidRPr="0092423C">
        <w:rPr>
          <w:rFonts w:ascii="Arial" w:hAnsi="Arial" w:cs="Arial"/>
          <w:b/>
        </w:rPr>
        <w:t>scheme</w:t>
      </w:r>
      <w:r w:rsidRPr="0092423C">
        <w:rPr>
          <w:rFonts w:ascii="Arial" w:hAnsi="Arial" w:cs="Arial"/>
          <w:b/>
        </w:rPr>
        <w:tab/>
      </w:r>
    </w:p>
    <w:p w14:paraId="4CD0335B" w14:textId="77777777" w:rsidR="00AD44CB" w:rsidRPr="0092423C" w:rsidRDefault="00AD44CB" w:rsidP="00AD44CB">
      <w:pPr>
        <w:pStyle w:val="NoSpacing"/>
        <w:ind w:left="720"/>
        <w:jc w:val="both"/>
        <w:rPr>
          <w:rFonts w:ascii="Arial" w:hAnsi="Arial" w:cs="Arial"/>
          <w:b/>
        </w:rPr>
      </w:pPr>
      <w:r w:rsidRPr="0092423C">
        <w:rPr>
          <w:rFonts w:ascii="Arial" w:hAnsi="Arial" w:cs="Arial"/>
        </w:rPr>
        <w:t xml:space="preserve"> </w:t>
      </w:r>
      <w:r w:rsidRPr="0092423C">
        <w:rPr>
          <w:rFonts w:ascii="Arial" w:hAnsi="Arial" w:cs="Arial"/>
          <w:b/>
        </w:rPr>
        <w:tab/>
      </w:r>
      <w:r w:rsidRPr="0092423C">
        <w:rPr>
          <w:rFonts w:ascii="Arial" w:hAnsi="Arial" w:cs="Arial"/>
          <w:b/>
        </w:rPr>
        <w:tab/>
      </w:r>
    </w:p>
    <w:p w14:paraId="6A4F12F5" w14:textId="481EBA0C" w:rsidR="00AD44CB" w:rsidRPr="0092423C" w:rsidRDefault="00AD44CB" w:rsidP="00AD44CB">
      <w:pPr>
        <w:pStyle w:val="NoSpacing"/>
        <w:numPr>
          <w:ilvl w:val="0"/>
          <w:numId w:val="39"/>
        </w:numPr>
        <w:jc w:val="both"/>
        <w:rPr>
          <w:rFonts w:ascii="Arial" w:hAnsi="Arial" w:cs="Arial"/>
        </w:rPr>
      </w:pPr>
      <w:proofErr w:type="spellStart"/>
      <w:r w:rsidRPr="0092423C">
        <w:rPr>
          <w:rFonts w:ascii="Arial" w:hAnsi="Arial" w:cs="Arial"/>
          <w:b/>
        </w:rPr>
        <w:t>Opt</w:t>
      </w:r>
      <w:proofErr w:type="spellEnd"/>
      <w:r w:rsidRPr="0092423C">
        <w:rPr>
          <w:rFonts w:ascii="Arial" w:hAnsi="Arial" w:cs="Arial"/>
          <w:b/>
        </w:rPr>
        <w:t xml:space="preserve"> Outs</w:t>
      </w:r>
      <w:r w:rsidRPr="0092423C">
        <w:rPr>
          <w:rFonts w:ascii="Arial" w:hAnsi="Arial" w:cs="Arial"/>
          <w:b/>
        </w:rPr>
        <w:tab/>
      </w:r>
      <w:r w:rsidRPr="0092423C">
        <w:rPr>
          <w:rFonts w:ascii="Arial" w:hAnsi="Arial" w:cs="Arial"/>
          <w:b/>
        </w:rPr>
        <w:tab/>
      </w:r>
      <w:r w:rsidR="003A189F" w:rsidRPr="0092423C">
        <w:rPr>
          <w:rFonts w:ascii="Arial" w:hAnsi="Arial" w:cs="Arial"/>
          <w:bCs/>
        </w:rPr>
        <w:t>4</w:t>
      </w:r>
      <w:r w:rsidR="003A189F" w:rsidRPr="0092423C">
        <w:rPr>
          <w:rFonts w:ascii="Arial" w:hAnsi="Arial" w:cs="Arial"/>
          <w:b/>
        </w:rPr>
        <w:t xml:space="preserve"> </w:t>
      </w:r>
      <w:r w:rsidRPr="0092423C">
        <w:rPr>
          <w:rFonts w:ascii="Arial" w:hAnsi="Arial" w:cs="Arial"/>
        </w:rPr>
        <w:t>members have opted out of the 2015 Scheme since the</w:t>
      </w:r>
    </w:p>
    <w:p w14:paraId="7697263B" w14:textId="631B9A4B" w:rsidR="00AD44CB" w:rsidRPr="0092423C" w:rsidRDefault="00AD44CB" w:rsidP="00AD44CB">
      <w:pPr>
        <w:pStyle w:val="NoSpacing"/>
        <w:ind w:left="2160" w:firstLine="720"/>
        <w:jc w:val="both"/>
        <w:rPr>
          <w:rFonts w:ascii="Arial" w:hAnsi="Arial" w:cs="Arial"/>
        </w:rPr>
      </w:pPr>
      <w:r w:rsidRPr="0092423C">
        <w:rPr>
          <w:rFonts w:ascii="Arial" w:hAnsi="Arial" w:cs="Arial"/>
        </w:rPr>
        <w:t>1</w:t>
      </w:r>
      <w:r w:rsidR="0081760C" w:rsidRPr="0092423C">
        <w:rPr>
          <w:rFonts w:ascii="Arial" w:hAnsi="Arial" w:cs="Arial"/>
        </w:rPr>
        <w:t>6 December</w:t>
      </w:r>
      <w:r w:rsidRPr="0092423C">
        <w:rPr>
          <w:rFonts w:ascii="Arial" w:hAnsi="Arial" w:cs="Arial"/>
        </w:rPr>
        <w:t xml:space="preserve"> 2020 Board meeting.    </w:t>
      </w:r>
    </w:p>
    <w:p w14:paraId="1FA28E7C" w14:textId="77777777" w:rsidR="00AD44CB" w:rsidRPr="0092423C" w:rsidRDefault="00AD44CB" w:rsidP="00AD44CB">
      <w:pPr>
        <w:pStyle w:val="NoSpacing"/>
        <w:jc w:val="both"/>
        <w:rPr>
          <w:rFonts w:ascii="Arial" w:hAnsi="Arial" w:cs="Arial"/>
        </w:rPr>
      </w:pPr>
      <w:r w:rsidRPr="0092423C">
        <w:rPr>
          <w:rFonts w:ascii="Arial" w:hAnsi="Arial" w:cs="Arial"/>
        </w:rPr>
        <w:tab/>
      </w:r>
      <w:r w:rsidRPr="0092423C">
        <w:rPr>
          <w:rFonts w:ascii="Arial" w:hAnsi="Arial" w:cs="Arial"/>
        </w:rPr>
        <w:tab/>
      </w:r>
    </w:p>
    <w:p w14:paraId="3A40F800" w14:textId="77777777" w:rsidR="00AD44CB" w:rsidRPr="0092423C" w:rsidRDefault="00AD44CB" w:rsidP="00AD44CB">
      <w:pPr>
        <w:pStyle w:val="NoSpacing"/>
        <w:spacing w:after="200"/>
        <w:jc w:val="both"/>
        <w:rPr>
          <w:rFonts w:ascii="Arial" w:hAnsi="Arial" w:cs="Arial"/>
        </w:rPr>
      </w:pPr>
      <w:r w:rsidRPr="0092423C">
        <w:rPr>
          <w:rFonts w:ascii="Arial" w:hAnsi="Arial" w:cs="Arial"/>
        </w:rPr>
        <w:t>3.2</w:t>
      </w:r>
    </w:p>
    <w:tbl>
      <w:tblPr>
        <w:tblStyle w:val="TableGrid"/>
        <w:tblW w:w="7683" w:type="dxa"/>
        <w:tblInd w:w="817" w:type="dxa"/>
        <w:tblLook w:val="04A0" w:firstRow="1" w:lastRow="0" w:firstColumn="1" w:lastColumn="0" w:noHBand="0" w:noVBand="1"/>
      </w:tblPr>
      <w:tblGrid>
        <w:gridCol w:w="4911"/>
        <w:gridCol w:w="1440"/>
        <w:gridCol w:w="1332"/>
      </w:tblGrid>
      <w:tr w:rsidR="00AD44CB" w:rsidRPr="0092423C" w14:paraId="3A2FED8E" w14:textId="77777777" w:rsidTr="00AD44CB">
        <w:trPr>
          <w:gridAfter w:val="1"/>
          <w:wAfter w:w="1332" w:type="dxa"/>
          <w:trHeight w:val="402"/>
        </w:trPr>
        <w:tc>
          <w:tcPr>
            <w:tcW w:w="4911" w:type="dxa"/>
            <w:vMerge w:val="restart"/>
            <w:tcBorders>
              <w:top w:val="single" w:sz="4" w:space="0" w:color="auto"/>
              <w:left w:val="single" w:sz="4" w:space="0" w:color="auto"/>
              <w:bottom w:val="single" w:sz="4" w:space="0" w:color="auto"/>
              <w:right w:val="single" w:sz="4" w:space="0" w:color="auto"/>
            </w:tcBorders>
          </w:tcPr>
          <w:p w14:paraId="6976E061" w14:textId="77777777" w:rsidR="00AD44CB" w:rsidRPr="0092423C" w:rsidRDefault="00AD44CB">
            <w:pPr>
              <w:pStyle w:val="NoSpacing"/>
              <w:spacing w:after="200"/>
              <w:jc w:val="both"/>
              <w:rPr>
                <w:rFonts w:ascii="Arial" w:hAnsi="Arial" w:cs="Arial"/>
              </w:rPr>
            </w:pPr>
          </w:p>
          <w:p w14:paraId="108AD4EA" w14:textId="77777777" w:rsidR="00AD44CB" w:rsidRPr="0092423C" w:rsidRDefault="00AD44CB">
            <w:pPr>
              <w:pStyle w:val="NoSpacing"/>
              <w:spacing w:after="200"/>
              <w:jc w:val="both"/>
              <w:rPr>
                <w:rFonts w:ascii="Arial" w:hAnsi="Arial" w:cs="Arial"/>
                <w:b/>
              </w:rPr>
            </w:pPr>
            <w:r w:rsidRPr="0092423C">
              <w:rPr>
                <w:rFonts w:ascii="Arial" w:hAnsi="Arial" w:cs="Arial"/>
                <w:b/>
              </w:rPr>
              <w:t>Firefighters’ Pension Schemes Membership</w:t>
            </w:r>
          </w:p>
        </w:tc>
        <w:tc>
          <w:tcPr>
            <w:tcW w:w="1440" w:type="dxa"/>
            <w:tcBorders>
              <w:top w:val="single" w:sz="4" w:space="0" w:color="auto"/>
              <w:left w:val="single" w:sz="4" w:space="0" w:color="auto"/>
              <w:bottom w:val="single" w:sz="4" w:space="0" w:color="auto"/>
              <w:right w:val="single" w:sz="4" w:space="0" w:color="auto"/>
            </w:tcBorders>
            <w:hideMark/>
          </w:tcPr>
          <w:p w14:paraId="3916C929" w14:textId="77777777" w:rsidR="00AD44CB" w:rsidRPr="0092423C" w:rsidRDefault="00AD44CB">
            <w:pPr>
              <w:pStyle w:val="NoSpacing"/>
              <w:spacing w:after="200"/>
              <w:jc w:val="both"/>
              <w:rPr>
                <w:rFonts w:ascii="Arial" w:hAnsi="Arial" w:cs="Arial"/>
                <w:b/>
              </w:rPr>
            </w:pPr>
            <w:r w:rsidRPr="0092423C">
              <w:rPr>
                <w:rFonts w:ascii="Arial" w:hAnsi="Arial" w:cs="Arial"/>
                <w:b/>
              </w:rPr>
              <w:t>On-Call</w:t>
            </w:r>
          </w:p>
        </w:tc>
      </w:tr>
      <w:tr w:rsidR="008F5E1C" w:rsidRPr="0092423C" w14:paraId="3E8EF9F6" w14:textId="77777777" w:rsidTr="008F5E1C">
        <w:trPr>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93B3F" w14:textId="77777777" w:rsidR="008F5E1C" w:rsidRPr="0092423C" w:rsidRDefault="008F5E1C" w:rsidP="008F5E1C">
            <w:pPr>
              <w:rPr>
                <w:rFonts w:ascii="Arial" w:hAnsi="Arial" w:cs="Arial"/>
                <w:b/>
              </w:rPr>
            </w:pPr>
          </w:p>
        </w:tc>
        <w:tc>
          <w:tcPr>
            <w:tcW w:w="1440" w:type="dxa"/>
            <w:tcBorders>
              <w:top w:val="single" w:sz="4" w:space="0" w:color="auto"/>
              <w:left w:val="single" w:sz="4" w:space="0" w:color="auto"/>
              <w:bottom w:val="single" w:sz="4" w:space="0" w:color="auto"/>
              <w:right w:val="single" w:sz="4" w:space="0" w:color="auto"/>
            </w:tcBorders>
            <w:vAlign w:val="center"/>
          </w:tcPr>
          <w:p w14:paraId="6C22D7D8" w14:textId="2EADAD1D" w:rsidR="008F5E1C" w:rsidRPr="0092423C" w:rsidRDefault="00FB0821" w:rsidP="008F5E1C">
            <w:pPr>
              <w:pStyle w:val="NoSpacing"/>
              <w:shd w:val="clear" w:color="auto" w:fill="FFFFFF" w:themeFill="background1"/>
              <w:spacing w:after="200"/>
              <w:jc w:val="both"/>
              <w:rPr>
                <w:rFonts w:ascii="Arial" w:hAnsi="Arial" w:cs="Arial"/>
                <w:b/>
              </w:rPr>
            </w:pPr>
            <w:r w:rsidRPr="0092423C">
              <w:rPr>
                <w:rFonts w:ascii="Arial" w:hAnsi="Arial" w:cs="Arial"/>
                <w:b/>
                <w:bCs/>
              </w:rPr>
              <w:t>15/01/2021</w:t>
            </w:r>
          </w:p>
        </w:tc>
        <w:tc>
          <w:tcPr>
            <w:tcW w:w="1332" w:type="dxa"/>
            <w:tcBorders>
              <w:top w:val="single" w:sz="4" w:space="0" w:color="auto"/>
              <w:left w:val="single" w:sz="4" w:space="0" w:color="auto"/>
              <w:bottom w:val="single" w:sz="4" w:space="0" w:color="auto"/>
              <w:right w:val="single" w:sz="4" w:space="0" w:color="auto"/>
            </w:tcBorders>
            <w:vAlign w:val="center"/>
          </w:tcPr>
          <w:p w14:paraId="0FBF7242" w14:textId="198EEAA5" w:rsidR="008F5E1C" w:rsidRPr="0092423C" w:rsidRDefault="008F5E1C" w:rsidP="008F5E1C">
            <w:pPr>
              <w:pStyle w:val="NoSpacing"/>
              <w:spacing w:after="200"/>
              <w:jc w:val="both"/>
              <w:rPr>
                <w:rFonts w:ascii="Arial" w:hAnsi="Arial" w:cs="Arial"/>
                <w:b/>
              </w:rPr>
            </w:pPr>
            <w:r w:rsidRPr="0092423C">
              <w:rPr>
                <w:rFonts w:ascii="Arial" w:hAnsi="Arial" w:cs="Arial"/>
                <w:b/>
              </w:rPr>
              <w:t>15/10/2020</w:t>
            </w:r>
          </w:p>
        </w:tc>
      </w:tr>
      <w:tr w:rsidR="008F5E1C" w:rsidRPr="0092423C" w14:paraId="6E560980" w14:textId="77777777" w:rsidTr="008F5E1C">
        <w:tc>
          <w:tcPr>
            <w:tcW w:w="4911" w:type="dxa"/>
            <w:tcBorders>
              <w:top w:val="single" w:sz="4" w:space="0" w:color="auto"/>
              <w:left w:val="single" w:sz="4" w:space="0" w:color="auto"/>
              <w:bottom w:val="single" w:sz="4" w:space="0" w:color="auto"/>
              <w:right w:val="single" w:sz="4" w:space="0" w:color="auto"/>
            </w:tcBorders>
            <w:vAlign w:val="center"/>
            <w:hideMark/>
          </w:tcPr>
          <w:p w14:paraId="0E181DC0" w14:textId="77777777" w:rsidR="008F5E1C" w:rsidRPr="0092423C" w:rsidRDefault="008F5E1C" w:rsidP="008F5E1C">
            <w:pPr>
              <w:pStyle w:val="NoSpacing"/>
              <w:spacing w:after="200"/>
              <w:jc w:val="both"/>
              <w:rPr>
                <w:rFonts w:ascii="Arial" w:hAnsi="Arial" w:cs="Arial"/>
              </w:rPr>
            </w:pPr>
            <w:r w:rsidRPr="0092423C">
              <w:rPr>
                <w:rFonts w:ascii="Arial" w:hAnsi="Arial" w:cs="Arial"/>
              </w:rPr>
              <w:t>1992</w:t>
            </w:r>
          </w:p>
        </w:tc>
        <w:tc>
          <w:tcPr>
            <w:tcW w:w="1440" w:type="dxa"/>
            <w:tcBorders>
              <w:top w:val="single" w:sz="4" w:space="0" w:color="auto"/>
              <w:left w:val="single" w:sz="4" w:space="0" w:color="auto"/>
              <w:bottom w:val="single" w:sz="4" w:space="0" w:color="auto"/>
              <w:right w:val="single" w:sz="4" w:space="0" w:color="auto"/>
            </w:tcBorders>
            <w:vAlign w:val="center"/>
          </w:tcPr>
          <w:p w14:paraId="4E39F7E3" w14:textId="3581CC43" w:rsidR="008F5E1C" w:rsidRPr="0092423C" w:rsidRDefault="005E7437" w:rsidP="008F5E1C">
            <w:pPr>
              <w:pStyle w:val="NoSpacing"/>
              <w:shd w:val="clear" w:color="auto" w:fill="FFFFFF" w:themeFill="background1"/>
              <w:spacing w:after="200"/>
              <w:jc w:val="both"/>
              <w:rPr>
                <w:rFonts w:ascii="Arial" w:hAnsi="Arial" w:cs="Arial"/>
              </w:rPr>
            </w:pPr>
            <w:r w:rsidRPr="0092423C">
              <w:rPr>
                <w:rFonts w:ascii="Arial" w:hAnsi="Arial" w:cs="Arial"/>
              </w:rPr>
              <w:t>0</w:t>
            </w:r>
          </w:p>
        </w:tc>
        <w:tc>
          <w:tcPr>
            <w:tcW w:w="1332" w:type="dxa"/>
            <w:tcBorders>
              <w:top w:val="single" w:sz="4" w:space="0" w:color="auto"/>
              <w:left w:val="single" w:sz="4" w:space="0" w:color="auto"/>
              <w:bottom w:val="single" w:sz="4" w:space="0" w:color="auto"/>
              <w:right w:val="single" w:sz="4" w:space="0" w:color="auto"/>
            </w:tcBorders>
            <w:vAlign w:val="center"/>
          </w:tcPr>
          <w:p w14:paraId="20E78E97" w14:textId="1ACC7F61" w:rsidR="008F5E1C" w:rsidRPr="0092423C" w:rsidRDefault="008F5E1C" w:rsidP="008F5E1C">
            <w:pPr>
              <w:pStyle w:val="NoSpacing"/>
              <w:spacing w:after="200"/>
              <w:jc w:val="both"/>
              <w:rPr>
                <w:rFonts w:ascii="Arial" w:hAnsi="Arial" w:cs="Arial"/>
              </w:rPr>
            </w:pPr>
            <w:r w:rsidRPr="0092423C">
              <w:rPr>
                <w:rFonts w:ascii="Arial" w:hAnsi="Arial" w:cs="Arial"/>
              </w:rPr>
              <w:t>0</w:t>
            </w:r>
          </w:p>
        </w:tc>
      </w:tr>
      <w:tr w:rsidR="008F5E1C" w:rsidRPr="0092423C" w14:paraId="54CE7E3F" w14:textId="77777777" w:rsidTr="008F5E1C">
        <w:tc>
          <w:tcPr>
            <w:tcW w:w="4911" w:type="dxa"/>
            <w:tcBorders>
              <w:top w:val="single" w:sz="4" w:space="0" w:color="auto"/>
              <w:left w:val="single" w:sz="4" w:space="0" w:color="auto"/>
              <w:bottom w:val="single" w:sz="4" w:space="0" w:color="auto"/>
              <w:right w:val="single" w:sz="4" w:space="0" w:color="auto"/>
            </w:tcBorders>
            <w:vAlign w:val="center"/>
            <w:hideMark/>
          </w:tcPr>
          <w:p w14:paraId="75B75AC0" w14:textId="77777777" w:rsidR="008F5E1C" w:rsidRPr="0092423C" w:rsidRDefault="008F5E1C" w:rsidP="008F5E1C">
            <w:pPr>
              <w:pStyle w:val="NoSpacing"/>
              <w:spacing w:after="200"/>
              <w:jc w:val="both"/>
              <w:rPr>
                <w:rFonts w:ascii="Arial" w:hAnsi="Arial" w:cs="Arial"/>
              </w:rPr>
            </w:pPr>
            <w:r w:rsidRPr="0092423C">
              <w:rPr>
                <w:rFonts w:ascii="Arial" w:hAnsi="Arial" w:cs="Arial"/>
              </w:rPr>
              <w:t>2006</w:t>
            </w:r>
          </w:p>
        </w:tc>
        <w:tc>
          <w:tcPr>
            <w:tcW w:w="1440" w:type="dxa"/>
            <w:tcBorders>
              <w:top w:val="single" w:sz="4" w:space="0" w:color="auto"/>
              <w:left w:val="single" w:sz="4" w:space="0" w:color="auto"/>
              <w:bottom w:val="single" w:sz="4" w:space="0" w:color="auto"/>
              <w:right w:val="single" w:sz="4" w:space="0" w:color="auto"/>
            </w:tcBorders>
            <w:vAlign w:val="center"/>
          </w:tcPr>
          <w:p w14:paraId="16215D48" w14:textId="6BC27D43" w:rsidR="008F5E1C" w:rsidRPr="0092423C" w:rsidRDefault="000F2061" w:rsidP="008F5E1C">
            <w:pPr>
              <w:pStyle w:val="NoSpacing"/>
              <w:shd w:val="clear" w:color="auto" w:fill="FFFFFF" w:themeFill="background1"/>
              <w:spacing w:after="200"/>
              <w:jc w:val="both"/>
              <w:rPr>
                <w:rFonts w:ascii="Arial" w:hAnsi="Arial" w:cs="Arial"/>
              </w:rPr>
            </w:pPr>
            <w:r w:rsidRPr="0092423C">
              <w:rPr>
                <w:rFonts w:ascii="Arial" w:hAnsi="Arial" w:cs="Arial"/>
              </w:rPr>
              <w:t>4</w:t>
            </w:r>
          </w:p>
        </w:tc>
        <w:tc>
          <w:tcPr>
            <w:tcW w:w="1332" w:type="dxa"/>
            <w:tcBorders>
              <w:top w:val="single" w:sz="4" w:space="0" w:color="auto"/>
              <w:left w:val="single" w:sz="4" w:space="0" w:color="auto"/>
              <w:bottom w:val="single" w:sz="4" w:space="0" w:color="auto"/>
              <w:right w:val="single" w:sz="4" w:space="0" w:color="auto"/>
            </w:tcBorders>
            <w:vAlign w:val="center"/>
          </w:tcPr>
          <w:p w14:paraId="19044B6E" w14:textId="323F71FF" w:rsidR="008F5E1C" w:rsidRPr="0092423C" w:rsidRDefault="008F5E1C" w:rsidP="008F5E1C">
            <w:pPr>
              <w:pStyle w:val="NoSpacing"/>
              <w:spacing w:after="200"/>
              <w:jc w:val="both"/>
              <w:rPr>
                <w:rFonts w:ascii="Arial" w:hAnsi="Arial" w:cs="Arial"/>
              </w:rPr>
            </w:pPr>
            <w:r w:rsidRPr="0092423C">
              <w:rPr>
                <w:rFonts w:ascii="Arial" w:hAnsi="Arial" w:cs="Arial"/>
              </w:rPr>
              <w:t>5</w:t>
            </w:r>
          </w:p>
        </w:tc>
      </w:tr>
      <w:tr w:rsidR="008F5E1C" w:rsidRPr="0092423C" w14:paraId="67DD0AFE" w14:textId="77777777" w:rsidTr="008F5E1C">
        <w:tc>
          <w:tcPr>
            <w:tcW w:w="4911" w:type="dxa"/>
            <w:tcBorders>
              <w:top w:val="single" w:sz="4" w:space="0" w:color="auto"/>
              <w:left w:val="single" w:sz="4" w:space="0" w:color="auto"/>
              <w:bottom w:val="single" w:sz="4" w:space="0" w:color="auto"/>
              <w:right w:val="single" w:sz="4" w:space="0" w:color="auto"/>
            </w:tcBorders>
            <w:vAlign w:val="center"/>
            <w:hideMark/>
          </w:tcPr>
          <w:p w14:paraId="10CE1513" w14:textId="77777777" w:rsidR="008F5E1C" w:rsidRPr="0092423C" w:rsidRDefault="008F5E1C" w:rsidP="008F5E1C">
            <w:pPr>
              <w:pStyle w:val="NoSpacing"/>
              <w:spacing w:after="200"/>
              <w:jc w:val="both"/>
              <w:rPr>
                <w:rFonts w:ascii="Arial" w:hAnsi="Arial" w:cs="Arial"/>
              </w:rPr>
            </w:pPr>
            <w:r w:rsidRPr="0092423C">
              <w:rPr>
                <w:rFonts w:ascii="Arial" w:hAnsi="Arial" w:cs="Arial"/>
              </w:rPr>
              <w:t>2015</w:t>
            </w:r>
          </w:p>
        </w:tc>
        <w:tc>
          <w:tcPr>
            <w:tcW w:w="1440" w:type="dxa"/>
            <w:tcBorders>
              <w:top w:val="single" w:sz="4" w:space="0" w:color="auto"/>
              <w:left w:val="single" w:sz="4" w:space="0" w:color="auto"/>
              <w:bottom w:val="single" w:sz="4" w:space="0" w:color="auto"/>
              <w:right w:val="single" w:sz="4" w:space="0" w:color="auto"/>
            </w:tcBorders>
            <w:vAlign w:val="center"/>
          </w:tcPr>
          <w:p w14:paraId="4D0B39BE" w14:textId="127A54EF" w:rsidR="008F5E1C" w:rsidRPr="0092423C" w:rsidRDefault="00F372A8" w:rsidP="008F5E1C">
            <w:pPr>
              <w:pStyle w:val="NoSpacing"/>
              <w:shd w:val="clear" w:color="auto" w:fill="FFFFFF" w:themeFill="background1"/>
              <w:spacing w:after="200"/>
              <w:jc w:val="both"/>
              <w:rPr>
                <w:rFonts w:ascii="Arial" w:hAnsi="Arial" w:cs="Arial"/>
              </w:rPr>
            </w:pPr>
            <w:r w:rsidRPr="0092423C">
              <w:rPr>
                <w:rFonts w:ascii="Arial" w:hAnsi="Arial" w:cs="Arial"/>
              </w:rPr>
              <w:t>309</w:t>
            </w:r>
          </w:p>
        </w:tc>
        <w:tc>
          <w:tcPr>
            <w:tcW w:w="1332" w:type="dxa"/>
            <w:tcBorders>
              <w:top w:val="single" w:sz="4" w:space="0" w:color="auto"/>
              <w:left w:val="single" w:sz="4" w:space="0" w:color="auto"/>
              <w:bottom w:val="single" w:sz="4" w:space="0" w:color="auto"/>
              <w:right w:val="single" w:sz="4" w:space="0" w:color="auto"/>
            </w:tcBorders>
            <w:vAlign w:val="center"/>
          </w:tcPr>
          <w:p w14:paraId="42B2FE92" w14:textId="47052199" w:rsidR="008F5E1C" w:rsidRPr="0092423C" w:rsidRDefault="008F5E1C" w:rsidP="008F5E1C">
            <w:pPr>
              <w:pStyle w:val="NoSpacing"/>
              <w:spacing w:after="200"/>
              <w:jc w:val="both"/>
              <w:rPr>
                <w:rFonts w:ascii="Arial" w:hAnsi="Arial" w:cs="Arial"/>
              </w:rPr>
            </w:pPr>
            <w:r w:rsidRPr="0092423C">
              <w:rPr>
                <w:rFonts w:ascii="Arial" w:hAnsi="Arial" w:cs="Arial"/>
              </w:rPr>
              <w:t>300</w:t>
            </w:r>
          </w:p>
        </w:tc>
      </w:tr>
      <w:tr w:rsidR="008F5E1C" w:rsidRPr="0092423C" w14:paraId="7A8E2033" w14:textId="77777777" w:rsidTr="008F5E1C">
        <w:tc>
          <w:tcPr>
            <w:tcW w:w="4911" w:type="dxa"/>
            <w:tcBorders>
              <w:top w:val="single" w:sz="4" w:space="0" w:color="auto"/>
              <w:left w:val="single" w:sz="4" w:space="0" w:color="auto"/>
              <w:bottom w:val="single" w:sz="4" w:space="0" w:color="auto"/>
              <w:right w:val="single" w:sz="4" w:space="0" w:color="auto"/>
            </w:tcBorders>
            <w:vAlign w:val="center"/>
            <w:hideMark/>
          </w:tcPr>
          <w:p w14:paraId="25FB97F4" w14:textId="77777777" w:rsidR="008F5E1C" w:rsidRPr="0092423C" w:rsidRDefault="008F5E1C" w:rsidP="008F5E1C">
            <w:pPr>
              <w:pStyle w:val="NoSpacing"/>
              <w:spacing w:after="200"/>
              <w:jc w:val="both"/>
              <w:rPr>
                <w:rFonts w:ascii="Arial" w:hAnsi="Arial" w:cs="Arial"/>
              </w:rPr>
            </w:pPr>
            <w:r w:rsidRPr="0092423C">
              <w:rPr>
                <w:rFonts w:ascii="Arial" w:hAnsi="Arial" w:cs="Arial"/>
              </w:rPr>
              <w:t>Retained Modified</w:t>
            </w:r>
          </w:p>
        </w:tc>
        <w:tc>
          <w:tcPr>
            <w:tcW w:w="1440" w:type="dxa"/>
            <w:tcBorders>
              <w:top w:val="single" w:sz="4" w:space="0" w:color="auto"/>
              <w:left w:val="single" w:sz="4" w:space="0" w:color="auto"/>
              <w:bottom w:val="single" w:sz="4" w:space="0" w:color="auto"/>
              <w:right w:val="single" w:sz="4" w:space="0" w:color="auto"/>
            </w:tcBorders>
            <w:vAlign w:val="center"/>
          </w:tcPr>
          <w:p w14:paraId="400131C6" w14:textId="6B333504" w:rsidR="008F5E1C" w:rsidRPr="0092423C" w:rsidRDefault="00D52EF0" w:rsidP="008F5E1C">
            <w:pPr>
              <w:pStyle w:val="NoSpacing"/>
              <w:shd w:val="clear" w:color="auto" w:fill="FFFFFF" w:themeFill="background1"/>
              <w:spacing w:after="200"/>
              <w:jc w:val="both"/>
              <w:rPr>
                <w:rFonts w:ascii="Arial" w:hAnsi="Arial" w:cs="Arial"/>
              </w:rPr>
            </w:pPr>
            <w:r w:rsidRPr="0092423C">
              <w:rPr>
                <w:rFonts w:ascii="Arial" w:hAnsi="Arial" w:cs="Arial"/>
              </w:rPr>
              <w:t>9</w:t>
            </w:r>
          </w:p>
        </w:tc>
        <w:tc>
          <w:tcPr>
            <w:tcW w:w="1332" w:type="dxa"/>
            <w:tcBorders>
              <w:top w:val="single" w:sz="4" w:space="0" w:color="auto"/>
              <w:left w:val="single" w:sz="4" w:space="0" w:color="auto"/>
              <w:bottom w:val="single" w:sz="4" w:space="0" w:color="auto"/>
              <w:right w:val="single" w:sz="4" w:space="0" w:color="auto"/>
            </w:tcBorders>
            <w:vAlign w:val="center"/>
          </w:tcPr>
          <w:p w14:paraId="08DF535F" w14:textId="2AE6BBE1" w:rsidR="008F5E1C" w:rsidRPr="0092423C" w:rsidRDefault="008F5E1C" w:rsidP="008F5E1C">
            <w:pPr>
              <w:pStyle w:val="NoSpacing"/>
              <w:spacing w:after="200"/>
              <w:jc w:val="both"/>
              <w:rPr>
                <w:rFonts w:ascii="Arial" w:hAnsi="Arial" w:cs="Arial"/>
              </w:rPr>
            </w:pPr>
            <w:r w:rsidRPr="0092423C">
              <w:rPr>
                <w:rFonts w:ascii="Arial" w:hAnsi="Arial" w:cs="Arial"/>
              </w:rPr>
              <w:t>10</w:t>
            </w:r>
          </w:p>
        </w:tc>
      </w:tr>
      <w:tr w:rsidR="008F5E1C" w:rsidRPr="0092423C" w14:paraId="0D42C287" w14:textId="77777777" w:rsidTr="008F5E1C">
        <w:tc>
          <w:tcPr>
            <w:tcW w:w="4911" w:type="dxa"/>
            <w:tcBorders>
              <w:top w:val="single" w:sz="4" w:space="0" w:color="auto"/>
              <w:left w:val="single" w:sz="4" w:space="0" w:color="auto"/>
              <w:bottom w:val="single" w:sz="4" w:space="0" w:color="auto"/>
              <w:right w:val="single" w:sz="4" w:space="0" w:color="auto"/>
            </w:tcBorders>
            <w:vAlign w:val="center"/>
            <w:hideMark/>
          </w:tcPr>
          <w:p w14:paraId="397649AD" w14:textId="77777777" w:rsidR="008F5E1C" w:rsidRPr="0092423C" w:rsidRDefault="008F5E1C" w:rsidP="008F5E1C">
            <w:pPr>
              <w:pStyle w:val="NoSpacing"/>
              <w:spacing w:after="200"/>
              <w:jc w:val="both"/>
              <w:rPr>
                <w:rFonts w:ascii="Arial" w:hAnsi="Arial" w:cs="Arial"/>
              </w:rPr>
            </w:pPr>
            <w:r w:rsidRPr="0092423C">
              <w:rPr>
                <w:rFonts w:ascii="Arial" w:hAnsi="Arial" w:cs="Arial"/>
              </w:rPr>
              <w:t>Opted Out</w:t>
            </w:r>
          </w:p>
        </w:tc>
        <w:tc>
          <w:tcPr>
            <w:tcW w:w="1440" w:type="dxa"/>
            <w:tcBorders>
              <w:top w:val="single" w:sz="4" w:space="0" w:color="auto"/>
              <w:left w:val="single" w:sz="4" w:space="0" w:color="auto"/>
              <w:bottom w:val="single" w:sz="4" w:space="0" w:color="auto"/>
              <w:right w:val="single" w:sz="4" w:space="0" w:color="auto"/>
            </w:tcBorders>
            <w:vAlign w:val="center"/>
          </w:tcPr>
          <w:p w14:paraId="09F54326" w14:textId="1C038E3B" w:rsidR="008F5E1C" w:rsidRPr="0092423C" w:rsidRDefault="00B612F0" w:rsidP="008F5E1C">
            <w:pPr>
              <w:pStyle w:val="NoSpacing"/>
              <w:shd w:val="clear" w:color="auto" w:fill="FFFFFF" w:themeFill="background1"/>
              <w:spacing w:after="200"/>
              <w:jc w:val="both"/>
              <w:rPr>
                <w:rFonts w:ascii="Arial" w:hAnsi="Arial" w:cs="Arial"/>
              </w:rPr>
            </w:pPr>
            <w:r w:rsidRPr="0092423C">
              <w:rPr>
                <w:rFonts w:ascii="Arial" w:hAnsi="Arial" w:cs="Arial"/>
              </w:rPr>
              <w:t>14 (</w:t>
            </w:r>
            <w:r w:rsidR="00171A2C" w:rsidRPr="0092423C">
              <w:rPr>
                <w:rFonts w:ascii="Arial" w:hAnsi="Arial" w:cs="Arial"/>
              </w:rPr>
              <w:t>3.79%)</w:t>
            </w:r>
          </w:p>
        </w:tc>
        <w:tc>
          <w:tcPr>
            <w:tcW w:w="1332" w:type="dxa"/>
            <w:tcBorders>
              <w:top w:val="single" w:sz="4" w:space="0" w:color="auto"/>
              <w:left w:val="single" w:sz="4" w:space="0" w:color="auto"/>
              <w:bottom w:val="single" w:sz="4" w:space="0" w:color="auto"/>
              <w:right w:val="single" w:sz="4" w:space="0" w:color="auto"/>
            </w:tcBorders>
            <w:vAlign w:val="center"/>
          </w:tcPr>
          <w:p w14:paraId="211DBF5B" w14:textId="70C283A6" w:rsidR="008F5E1C" w:rsidRPr="0092423C" w:rsidRDefault="008F5E1C" w:rsidP="008F5E1C">
            <w:pPr>
              <w:pStyle w:val="NoSpacing"/>
              <w:spacing w:after="200"/>
              <w:jc w:val="both"/>
              <w:rPr>
                <w:rFonts w:ascii="Arial" w:hAnsi="Arial" w:cs="Arial"/>
              </w:rPr>
            </w:pPr>
            <w:r w:rsidRPr="0092423C">
              <w:rPr>
                <w:rFonts w:ascii="Arial" w:hAnsi="Arial" w:cs="Arial"/>
              </w:rPr>
              <w:t>12 (3.40%)</w:t>
            </w:r>
          </w:p>
        </w:tc>
      </w:tr>
    </w:tbl>
    <w:p w14:paraId="552D7EEC" w14:textId="77777777" w:rsidR="00AD44CB" w:rsidRPr="0092423C" w:rsidRDefault="00AD44CB" w:rsidP="00AD44CB">
      <w:pPr>
        <w:pStyle w:val="NoSpacing"/>
        <w:spacing w:after="200"/>
        <w:jc w:val="both"/>
        <w:rPr>
          <w:rFonts w:ascii="Arial" w:hAnsi="Arial" w:cs="Arial"/>
        </w:rPr>
      </w:pPr>
    </w:p>
    <w:p w14:paraId="4D6B0152" w14:textId="77777777" w:rsidR="00AD44CB" w:rsidRPr="0092423C" w:rsidRDefault="00AD44CB" w:rsidP="00AD44CB">
      <w:pPr>
        <w:pStyle w:val="NoSpacing"/>
        <w:numPr>
          <w:ilvl w:val="2"/>
          <w:numId w:val="40"/>
        </w:numPr>
        <w:spacing w:after="200"/>
        <w:jc w:val="both"/>
        <w:rPr>
          <w:rFonts w:ascii="Arial" w:hAnsi="Arial" w:cs="Arial"/>
        </w:rPr>
      </w:pPr>
      <w:r w:rsidRPr="0092423C">
        <w:rPr>
          <w:rFonts w:ascii="Arial" w:hAnsi="Arial" w:cs="Arial"/>
        </w:rPr>
        <w:t>The variations for On-Call membership are as follows:</w:t>
      </w:r>
    </w:p>
    <w:p w14:paraId="1D1E7B9C" w14:textId="4B2EF7E9" w:rsidR="00AD44CB" w:rsidRPr="0092423C" w:rsidRDefault="00AD44CB" w:rsidP="00AD44CB">
      <w:pPr>
        <w:pStyle w:val="NoSpacing"/>
        <w:numPr>
          <w:ilvl w:val="0"/>
          <w:numId w:val="39"/>
        </w:numPr>
        <w:spacing w:before="240" w:after="240"/>
        <w:jc w:val="both"/>
        <w:rPr>
          <w:rFonts w:ascii="Arial" w:hAnsi="Arial" w:cs="Arial"/>
        </w:rPr>
      </w:pPr>
      <w:r w:rsidRPr="0092423C">
        <w:rPr>
          <w:rFonts w:ascii="Arial" w:hAnsi="Arial" w:cs="Arial"/>
          <w:b/>
        </w:rPr>
        <w:t>2006 scheme</w:t>
      </w:r>
      <w:r w:rsidRPr="0092423C">
        <w:rPr>
          <w:rFonts w:ascii="Arial" w:hAnsi="Arial" w:cs="Arial"/>
          <w:b/>
        </w:rPr>
        <w:tab/>
      </w:r>
      <w:r w:rsidRPr="0092423C">
        <w:rPr>
          <w:rFonts w:ascii="Arial" w:hAnsi="Arial" w:cs="Arial"/>
          <w:b/>
        </w:rPr>
        <w:tab/>
      </w:r>
      <w:r w:rsidR="00B537DF" w:rsidRPr="0092423C">
        <w:rPr>
          <w:rFonts w:ascii="Arial" w:hAnsi="Arial" w:cs="Arial"/>
          <w:bCs/>
        </w:rPr>
        <w:t>1 transition into the 2015 scheme</w:t>
      </w:r>
    </w:p>
    <w:p w14:paraId="3578DAD3" w14:textId="41C161F4" w:rsidR="00AD44CB" w:rsidRPr="0092423C" w:rsidRDefault="00AD44CB" w:rsidP="00AD44CB">
      <w:pPr>
        <w:pStyle w:val="NoSpacing"/>
        <w:numPr>
          <w:ilvl w:val="0"/>
          <w:numId w:val="39"/>
        </w:numPr>
        <w:jc w:val="both"/>
        <w:rPr>
          <w:rFonts w:ascii="Arial" w:hAnsi="Arial" w:cs="Arial"/>
        </w:rPr>
      </w:pPr>
      <w:r w:rsidRPr="0092423C">
        <w:rPr>
          <w:rFonts w:ascii="Arial" w:hAnsi="Arial" w:cs="Arial"/>
          <w:b/>
        </w:rPr>
        <w:t>2015 scheme</w:t>
      </w:r>
      <w:r w:rsidRPr="0092423C">
        <w:rPr>
          <w:rFonts w:ascii="Arial" w:hAnsi="Arial" w:cs="Arial"/>
          <w:b/>
        </w:rPr>
        <w:tab/>
      </w:r>
      <w:r w:rsidRPr="0092423C">
        <w:rPr>
          <w:rFonts w:ascii="Arial" w:hAnsi="Arial" w:cs="Arial"/>
          <w:b/>
        </w:rPr>
        <w:tab/>
      </w:r>
      <w:r w:rsidR="00392F67" w:rsidRPr="0092423C">
        <w:rPr>
          <w:rFonts w:ascii="Arial" w:hAnsi="Arial" w:cs="Arial"/>
          <w:bCs/>
        </w:rPr>
        <w:t xml:space="preserve">22 </w:t>
      </w:r>
      <w:r w:rsidRPr="0092423C">
        <w:rPr>
          <w:rFonts w:ascii="Arial" w:hAnsi="Arial" w:cs="Arial"/>
        </w:rPr>
        <w:t>starters (new employees)</w:t>
      </w:r>
    </w:p>
    <w:p w14:paraId="1CD4F63E" w14:textId="32D7A9BB" w:rsidR="00C10CAF" w:rsidRPr="0092423C" w:rsidRDefault="00A72EE7" w:rsidP="0058048A">
      <w:pPr>
        <w:pStyle w:val="NoSpacing"/>
        <w:ind w:left="2520" w:firstLine="360"/>
        <w:jc w:val="both"/>
        <w:rPr>
          <w:rFonts w:ascii="Arial" w:hAnsi="Arial" w:cs="Arial"/>
        </w:rPr>
      </w:pPr>
      <w:r w:rsidRPr="0092423C">
        <w:rPr>
          <w:rFonts w:ascii="Arial" w:hAnsi="Arial" w:cs="Arial"/>
        </w:rPr>
        <w:t>1 transition from standard 2006 scheme</w:t>
      </w:r>
    </w:p>
    <w:p w14:paraId="786FB19B" w14:textId="3FD2442B" w:rsidR="00AD44CB" w:rsidRPr="0092423C" w:rsidRDefault="00C10CAF" w:rsidP="0058048A">
      <w:pPr>
        <w:pStyle w:val="NoSpacing"/>
        <w:ind w:left="2520" w:firstLine="360"/>
        <w:jc w:val="both"/>
        <w:rPr>
          <w:rFonts w:ascii="Arial" w:hAnsi="Arial" w:cs="Arial"/>
        </w:rPr>
      </w:pPr>
      <w:r w:rsidRPr="0092423C">
        <w:rPr>
          <w:rFonts w:ascii="Arial" w:hAnsi="Arial" w:cs="Arial"/>
        </w:rPr>
        <w:t xml:space="preserve">9 </w:t>
      </w:r>
      <w:r w:rsidR="00AD44CB" w:rsidRPr="0092423C">
        <w:rPr>
          <w:rFonts w:ascii="Arial" w:hAnsi="Arial" w:cs="Arial"/>
        </w:rPr>
        <w:t>leavers</w:t>
      </w:r>
    </w:p>
    <w:p w14:paraId="69E3BCBE" w14:textId="627FC42F" w:rsidR="00C10CAF" w:rsidRPr="0092423C" w:rsidRDefault="00C10CAF" w:rsidP="0058048A">
      <w:pPr>
        <w:pStyle w:val="NoSpacing"/>
        <w:ind w:left="2520" w:firstLine="360"/>
        <w:jc w:val="both"/>
        <w:rPr>
          <w:rFonts w:ascii="Arial" w:hAnsi="Arial" w:cs="Arial"/>
        </w:rPr>
      </w:pPr>
      <w:r w:rsidRPr="0092423C">
        <w:rPr>
          <w:rFonts w:ascii="Arial" w:hAnsi="Arial" w:cs="Arial"/>
        </w:rPr>
        <w:t>3 retirements</w:t>
      </w:r>
    </w:p>
    <w:p w14:paraId="4EE36343" w14:textId="7C377D54" w:rsidR="00C10CAF" w:rsidRPr="0092423C" w:rsidRDefault="009D0ED7" w:rsidP="0058048A">
      <w:pPr>
        <w:pStyle w:val="NoSpacing"/>
        <w:ind w:left="2520" w:firstLine="360"/>
        <w:jc w:val="both"/>
        <w:rPr>
          <w:rFonts w:ascii="Arial" w:hAnsi="Arial" w:cs="Arial"/>
        </w:rPr>
      </w:pPr>
      <w:r w:rsidRPr="0092423C">
        <w:rPr>
          <w:rFonts w:ascii="Arial" w:hAnsi="Arial" w:cs="Arial"/>
        </w:rPr>
        <w:t xml:space="preserve">2 </w:t>
      </w:r>
      <w:proofErr w:type="spellStart"/>
      <w:r w:rsidRPr="0092423C">
        <w:rPr>
          <w:rFonts w:ascii="Arial" w:hAnsi="Arial" w:cs="Arial"/>
        </w:rPr>
        <w:t>Opt</w:t>
      </w:r>
      <w:proofErr w:type="spellEnd"/>
      <w:r w:rsidRPr="0092423C">
        <w:rPr>
          <w:rFonts w:ascii="Arial" w:hAnsi="Arial" w:cs="Arial"/>
        </w:rPr>
        <w:t xml:space="preserve"> </w:t>
      </w:r>
      <w:proofErr w:type="gramStart"/>
      <w:r w:rsidRPr="0092423C">
        <w:rPr>
          <w:rFonts w:ascii="Arial" w:hAnsi="Arial" w:cs="Arial"/>
        </w:rPr>
        <w:t>outs</w:t>
      </w:r>
      <w:proofErr w:type="gramEnd"/>
    </w:p>
    <w:p w14:paraId="77CFFA8B" w14:textId="77777777" w:rsidR="0058048A" w:rsidRPr="0092423C" w:rsidRDefault="0058048A" w:rsidP="0058048A">
      <w:pPr>
        <w:pStyle w:val="NoSpacing"/>
        <w:ind w:left="2520" w:firstLine="360"/>
        <w:jc w:val="both"/>
        <w:rPr>
          <w:rFonts w:ascii="Arial" w:hAnsi="Arial" w:cs="Arial"/>
        </w:rPr>
      </w:pPr>
    </w:p>
    <w:p w14:paraId="6FFD8928" w14:textId="56636E1A" w:rsidR="00AD44CB" w:rsidRPr="0092423C" w:rsidRDefault="00AD44CB" w:rsidP="00AD44CB">
      <w:pPr>
        <w:pStyle w:val="NoSpacing"/>
        <w:numPr>
          <w:ilvl w:val="0"/>
          <w:numId w:val="39"/>
        </w:numPr>
        <w:jc w:val="both"/>
        <w:rPr>
          <w:rFonts w:ascii="Arial" w:hAnsi="Arial" w:cs="Arial"/>
        </w:rPr>
      </w:pPr>
      <w:r w:rsidRPr="0092423C">
        <w:rPr>
          <w:rFonts w:ascii="Arial" w:hAnsi="Arial" w:cs="Arial"/>
          <w:b/>
        </w:rPr>
        <w:t>Retained modified</w:t>
      </w:r>
      <w:r w:rsidRPr="0092423C">
        <w:rPr>
          <w:rFonts w:ascii="Arial" w:hAnsi="Arial" w:cs="Arial"/>
          <w:b/>
        </w:rPr>
        <w:tab/>
      </w:r>
      <w:r w:rsidR="003A2CA4" w:rsidRPr="0092423C">
        <w:rPr>
          <w:rFonts w:ascii="Arial" w:hAnsi="Arial" w:cs="Arial"/>
          <w:bCs/>
        </w:rPr>
        <w:t xml:space="preserve">1 </w:t>
      </w:r>
      <w:proofErr w:type="gramStart"/>
      <w:r w:rsidR="003A2CA4" w:rsidRPr="0092423C">
        <w:rPr>
          <w:rFonts w:ascii="Arial" w:hAnsi="Arial" w:cs="Arial"/>
          <w:bCs/>
        </w:rPr>
        <w:t>retirement</w:t>
      </w:r>
      <w:proofErr w:type="gramEnd"/>
    </w:p>
    <w:p w14:paraId="6C83BB7D" w14:textId="77777777" w:rsidR="00AD44CB" w:rsidRPr="0092423C" w:rsidRDefault="00AD44CB" w:rsidP="00AD44CB">
      <w:pPr>
        <w:pStyle w:val="NoSpacing"/>
        <w:ind w:left="2880" w:hanging="2171"/>
        <w:jc w:val="both"/>
        <w:rPr>
          <w:rFonts w:ascii="Arial" w:hAnsi="Arial" w:cs="Arial"/>
          <w:b/>
        </w:rPr>
      </w:pPr>
      <w:r w:rsidRPr="0092423C">
        <w:rPr>
          <w:rFonts w:ascii="Arial" w:hAnsi="Arial" w:cs="Arial"/>
          <w:b/>
        </w:rPr>
        <w:t>Scheme</w:t>
      </w:r>
      <w:r w:rsidRPr="0092423C">
        <w:rPr>
          <w:rFonts w:ascii="Arial" w:hAnsi="Arial" w:cs="Arial"/>
          <w:b/>
        </w:rPr>
        <w:tab/>
      </w:r>
    </w:p>
    <w:p w14:paraId="14BCA346" w14:textId="77777777" w:rsidR="00AD44CB" w:rsidRPr="0092423C" w:rsidRDefault="00AD44CB" w:rsidP="00AD44CB">
      <w:pPr>
        <w:pStyle w:val="NoSpacing"/>
        <w:ind w:left="2880" w:hanging="2171"/>
        <w:jc w:val="both"/>
        <w:rPr>
          <w:rFonts w:ascii="Arial" w:hAnsi="Arial" w:cs="Arial"/>
        </w:rPr>
      </w:pPr>
    </w:p>
    <w:p w14:paraId="7DD577F2" w14:textId="77777777" w:rsidR="00486D7C" w:rsidRPr="0092423C" w:rsidRDefault="00AD44CB" w:rsidP="00AD44CB">
      <w:pPr>
        <w:pStyle w:val="NoSpacing"/>
        <w:numPr>
          <w:ilvl w:val="0"/>
          <w:numId w:val="39"/>
        </w:numPr>
        <w:ind w:left="709" w:hanging="349"/>
        <w:jc w:val="both"/>
        <w:rPr>
          <w:rFonts w:ascii="Arial" w:hAnsi="Arial" w:cs="Arial"/>
        </w:rPr>
      </w:pPr>
      <w:proofErr w:type="spellStart"/>
      <w:r w:rsidRPr="0092423C">
        <w:rPr>
          <w:rFonts w:ascii="Arial" w:hAnsi="Arial" w:cs="Arial"/>
          <w:b/>
        </w:rPr>
        <w:t>Opt</w:t>
      </w:r>
      <w:proofErr w:type="spellEnd"/>
      <w:r w:rsidRPr="0092423C">
        <w:rPr>
          <w:rFonts w:ascii="Arial" w:hAnsi="Arial" w:cs="Arial"/>
          <w:b/>
        </w:rPr>
        <w:t xml:space="preserve"> Outs</w:t>
      </w:r>
      <w:r w:rsidRPr="0092423C">
        <w:rPr>
          <w:rFonts w:ascii="Arial" w:hAnsi="Arial" w:cs="Arial"/>
          <w:b/>
        </w:rPr>
        <w:tab/>
      </w:r>
      <w:r w:rsidRPr="0092423C">
        <w:rPr>
          <w:rFonts w:ascii="Arial" w:hAnsi="Arial" w:cs="Arial"/>
          <w:b/>
        </w:rPr>
        <w:tab/>
      </w:r>
      <w:r w:rsidR="00C229E3" w:rsidRPr="0092423C">
        <w:rPr>
          <w:rFonts w:ascii="Arial" w:hAnsi="Arial" w:cs="Arial"/>
          <w:bCs/>
        </w:rPr>
        <w:t xml:space="preserve">2 </w:t>
      </w:r>
      <w:r w:rsidRPr="0092423C">
        <w:rPr>
          <w:rFonts w:ascii="Arial" w:hAnsi="Arial" w:cs="Arial"/>
        </w:rPr>
        <w:t xml:space="preserve">members have opted out of the 2015 Scheme since the </w:t>
      </w:r>
      <w:proofErr w:type="gramStart"/>
      <w:r w:rsidRPr="0092423C">
        <w:rPr>
          <w:rFonts w:ascii="Arial" w:hAnsi="Arial" w:cs="Arial"/>
        </w:rPr>
        <w:t>1</w:t>
      </w:r>
      <w:r w:rsidR="00486D7C" w:rsidRPr="0092423C">
        <w:rPr>
          <w:rFonts w:ascii="Arial" w:hAnsi="Arial" w:cs="Arial"/>
        </w:rPr>
        <w:t>6</w:t>
      </w:r>
      <w:proofErr w:type="gramEnd"/>
    </w:p>
    <w:p w14:paraId="0D1DC1BC" w14:textId="5B6B6059" w:rsidR="00AD44CB" w:rsidRPr="0092423C" w:rsidRDefault="00486D7C" w:rsidP="003B19B5">
      <w:pPr>
        <w:pStyle w:val="NoSpacing"/>
        <w:ind w:left="709"/>
        <w:jc w:val="both"/>
        <w:rPr>
          <w:rFonts w:ascii="Arial" w:hAnsi="Arial" w:cs="Arial"/>
        </w:rPr>
      </w:pPr>
      <w:r w:rsidRPr="0092423C">
        <w:rPr>
          <w:rFonts w:ascii="Arial" w:hAnsi="Arial" w:cs="Arial"/>
        </w:rPr>
        <w:t xml:space="preserve">                                   December</w:t>
      </w:r>
      <w:r w:rsidR="00AD44CB" w:rsidRPr="0092423C">
        <w:rPr>
          <w:rFonts w:ascii="Arial" w:hAnsi="Arial" w:cs="Arial"/>
        </w:rPr>
        <w:t xml:space="preserve"> 2020 Board meeting.    </w:t>
      </w:r>
    </w:p>
    <w:p w14:paraId="499DEEB0" w14:textId="77777777" w:rsidR="00AD44CB" w:rsidRPr="0092423C" w:rsidRDefault="00AD44CB" w:rsidP="00AD44CB">
      <w:pPr>
        <w:pStyle w:val="NoSpacing"/>
        <w:ind w:left="2880"/>
        <w:jc w:val="both"/>
        <w:rPr>
          <w:rFonts w:ascii="Arial" w:hAnsi="Arial" w:cs="Arial"/>
          <w:b/>
        </w:rPr>
      </w:pPr>
      <w:r w:rsidRPr="0092423C">
        <w:rPr>
          <w:rFonts w:ascii="Arial" w:hAnsi="Arial" w:cs="Arial"/>
        </w:rPr>
        <w:tab/>
      </w:r>
      <w:r w:rsidRPr="0092423C">
        <w:rPr>
          <w:rFonts w:ascii="Arial" w:hAnsi="Arial" w:cs="Arial"/>
        </w:rPr>
        <w:tab/>
      </w:r>
      <w:r w:rsidRPr="0092423C">
        <w:rPr>
          <w:rFonts w:ascii="Arial" w:hAnsi="Arial" w:cs="Arial"/>
        </w:rPr>
        <w:tab/>
      </w:r>
      <w:r w:rsidRPr="0092423C">
        <w:rPr>
          <w:rFonts w:ascii="Arial" w:hAnsi="Arial" w:cs="Arial"/>
        </w:rPr>
        <w:tab/>
      </w:r>
    </w:p>
    <w:p w14:paraId="4ADAA1EA" w14:textId="26F30D5D" w:rsidR="00AD44CB" w:rsidRPr="0092423C" w:rsidRDefault="00AD44CB" w:rsidP="00AD44CB">
      <w:pPr>
        <w:pStyle w:val="NoSpacing"/>
        <w:spacing w:after="200"/>
        <w:ind w:left="720" w:hanging="720"/>
        <w:jc w:val="both"/>
        <w:rPr>
          <w:rFonts w:ascii="Arial" w:hAnsi="Arial" w:cs="Arial"/>
        </w:rPr>
      </w:pPr>
      <w:r w:rsidRPr="0092423C">
        <w:rPr>
          <w:rFonts w:ascii="Arial" w:hAnsi="Arial" w:cs="Arial"/>
        </w:rPr>
        <w:t>3.3</w:t>
      </w:r>
      <w:r w:rsidRPr="0092423C">
        <w:rPr>
          <w:rFonts w:ascii="Arial" w:hAnsi="Arial" w:cs="Arial"/>
        </w:rPr>
        <w:tab/>
        <w:t xml:space="preserve">The following table shows the retired members according to each scheme as </w:t>
      </w:r>
      <w:proofErr w:type="gramStart"/>
      <w:r w:rsidRPr="0092423C">
        <w:rPr>
          <w:rFonts w:ascii="Arial" w:hAnsi="Arial" w:cs="Arial"/>
        </w:rPr>
        <w:t>at</w:t>
      </w:r>
      <w:proofErr w:type="gramEnd"/>
      <w:r w:rsidRPr="0092423C">
        <w:rPr>
          <w:rFonts w:ascii="Arial" w:hAnsi="Arial" w:cs="Arial"/>
        </w:rPr>
        <w:t xml:space="preserve"> 1</w:t>
      </w:r>
      <w:r w:rsidR="003E25D2" w:rsidRPr="0092423C">
        <w:rPr>
          <w:rFonts w:ascii="Arial" w:hAnsi="Arial" w:cs="Arial"/>
        </w:rPr>
        <w:t xml:space="preserve">5 February 2021 </w:t>
      </w:r>
      <w:r w:rsidRPr="0092423C">
        <w:rPr>
          <w:rFonts w:ascii="Arial" w:hAnsi="Arial" w:cs="Arial"/>
        </w:rPr>
        <w:t>compared to 1</w:t>
      </w:r>
      <w:r w:rsidR="003E25D2" w:rsidRPr="0092423C">
        <w:rPr>
          <w:rFonts w:ascii="Arial" w:hAnsi="Arial" w:cs="Arial"/>
        </w:rPr>
        <w:t xml:space="preserve">2 November </w:t>
      </w:r>
      <w:r w:rsidRPr="0092423C">
        <w:rPr>
          <w:rFonts w:ascii="Arial" w:hAnsi="Arial" w:cs="Arial"/>
        </w:rPr>
        <w:t xml:space="preserve">2020.  Membership continues to be split between pensioners and dependants. </w:t>
      </w:r>
    </w:p>
    <w:p w14:paraId="40826EE4" w14:textId="77777777" w:rsidR="00AD44CB" w:rsidRPr="0092423C" w:rsidRDefault="00AD44CB" w:rsidP="00AD44CB">
      <w:pPr>
        <w:pStyle w:val="NoSpacing"/>
        <w:spacing w:after="200"/>
        <w:ind w:left="720" w:hanging="720"/>
        <w:jc w:val="both"/>
        <w:rPr>
          <w:rFonts w:ascii="Arial" w:hAnsi="Arial" w:cs="Arial"/>
        </w:rPr>
      </w:pPr>
      <w:r w:rsidRPr="0092423C">
        <w:rPr>
          <w:rFonts w:ascii="Arial" w:hAnsi="Arial" w:cs="Arial"/>
        </w:rPr>
        <w:t>3.3.1</w:t>
      </w:r>
    </w:p>
    <w:tbl>
      <w:tblPr>
        <w:tblStyle w:val="TableGrid"/>
        <w:tblW w:w="8798" w:type="dxa"/>
        <w:tblInd w:w="675" w:type="dxa"/>
        <w:tblLook w:val="04A0" w:firstRow="1" w:lastRow="0" w:firstColumn="1" w:lastColumn="0" w:noHBand="0" w:noVBand="1"/>
      </w:tblPr>
      <w:tblGrid>
        <w:gridCol w:w="6162"/>
        <w:gridCol w:w="1318"/>
        <w:gridCol w:w="1318"/>
      </w:tblGrid>
      <w:tr w:rsidR="00917AEF" w:rsidRPr="0092423C" w14:paraId="71427AB1" w14:textId="77777777" w:rsidTr="00917AEF">
        <w:trPr>
          <w:trHeight w:val="480"/>
        </w:trPr>
        <w:tc>
          <w:tcPr>
            <w:tcW w:w="6162" w:type="dxa"/>
            <w:tcBorders>
              <w:top w:val="single" w:sz="4" w:space="0" w:color="auto"/>
              <w:left w:val="single" w:sz="4" w:space="0" w:color="auto"/>
              <w:bottom w:val="single" w:sz="4" w:space="0" w:color="auto"/>
              <w:right w:val="single" w:sz="4" w:space="0" w:color="auto"/>
            </w:tcBorders>
            <w:hideMark/>
          </w:tcPr>
          <w:p w14:paraId="66E4F558" w14:textId="77777777" w:rsidR="00917AEF" w:rsidRPr="0092423C" w:rsidRDefault="00917AEF" w:rsidP="00917AEF">
            <w:pPr>
              <w:pStyle w:val="NoSpacing"/>
              <w:spacing w:after="200"/>
              <w:jc w:val="both"/>
              <w:rPr>
                <w:rFonts w:ascii="Arial" w:hAnsi="Arial" w:cs="Arial"/>
                <w:b/>
              </w:rPr>
            </w:pPr>
            <w:r w:rsidRPr="0092423C">
              <w:rPr>
                <w:rFonts w:ascii="Arial" w:hAnsi="Arial" w:cs="Arial"/>
                <w:b/>
              </w:rPr>
              <w:t>Firefighters’ Pensions Schemes Retired Membership</w:t>
            </w:r>
          </w:p>
        </w:tc>
        <w:tc>
          <w:tcPr>
            <w:tcW w:w="1318" w:type="dxa"/>
            <w:tcBorders>
              <w:top w:val="single" w:sz="4" w:space="0" w:color="auto"/>
              <w:left w:val="single" w:sz="4" w:space="0" w:color="auto"/>
              <w:bottom w:val="single" w:sz="4" w:space="0" w:color="auto"/>
              <w:right w:val="single" w:sz="4" w:space="0" w:color="auto"/>
            </w:tcBorders>
            <w:vAlign w:val="center"/>
            <w:hideMark/>
          </w:tcPr>
          <w:p w14:paraId="78A52CF9" w14:textId="6134036B" w:rsidR="00917AEF" w:rsidRPr="0092423C" w:rsidRDefault="00917AEF" w:rsidP="00917AEF">
            <w:pPr>
              <w:pStyle w:val="NoSpacing"/>
              <w:shd w:val="clear" w:color="auto" w:fill="FFFFFF" w:themeFill="background1"/>
              <w:spacing w:after="200"/>
              <w:jc w:val="both"/>
              <w:rPr>
                <w:rFonts w:ascii="Arial" w:hAnsi="Arial" w:cs="Arial"/>
                <w:b/>
              </w:rPr>
            </w:pPr>
            <w:r w:rsidRPr="0092423C">
              <w:rPr>
                <w:rFonts w:ascii="Arial" w:hAnsi="Arial" w:cs="Arial"/>
                <w:b/>
              </w:rPr>
              <w:t>1</w:t>
            </w:r>
            <w:r w:rsidR="00616979" w:rsidRPr="0092423C">
              <w:rPr>
                <w:rFonts w:ascii="Arial" w:hAnsi="Arial" w:cs="Arial"/>
                <w:b/>
              </w:rPr>
              <w:t>5/02/2021</w:t>
            </w:r>
          </w:p>
        </w:tc>
        <w:tc>
          <w:tcPr>
            <w:tcW w:w="1318" w:type="dxa"/>
            <w:tcBorders>
              <w:top w:val="single" w:sz="4" w:space="0" w:color="auto"/>
              <w:left w:val="single" w:sz="4" w:space="0" w:color="auto"/>
              <w:bottom w:val="single" w:sz="4" w:space="0" w:color="auto"/>
              <w:right w:val="single" w:sz="4" w:space="0" w:color="auto"/>
            </w:tcBorders>
            <w:vAlign w:val="center"/>
          </w:tcPr>
          <w:p w14:paraId="21F808F3" w14:textId="530E5630" w:rsidR="00917AEF" w:rsidRPr="0092423C" w:rsidRDefault="00917AEF" w:rsidP="00917AEF">
            <w:pPr>
              <w:pStyle w:val="NoSpacing"/>
              <w:spacing w:after="200"/>
              <w:jc w:val="both"/>
              <w:rPr>
                <w:rFonts w:ascii="Arial" w:hAnsi="Arial" w:cs="Arial"/>
                <w:b/>
              </w:rPr>
            </w:pPr>
            <w:r w:rsidRPr="0092423C">
              <w:rPr>
                <w:rFonts w:ascii="Arial" w:hAnsi="Arial" w:cs="Arial"/>
                <w:b/>
              </w:rPr>
              <w:t>12/11/2020</w:t>
            </w:r>
          </w:p>
        </w:tc>
      </w:tr>
      <w:tr w:rsidR="00917AEF" w:rsidRPr="0092423C" w14:paraId="5A0EF5B9" w14:textId="77777777" w:rsidTr="00917AEF">
        <w:tc>
          <w:tcPr>
            <w:tcW w:w="6162" w:type="dxa"/>
            <w:tcBorders>
              <w:top w:val="single" w:sz="4" w:space="0" w:color="auto"/>
              <w:left w:val="single" w:sz="4" w:space="0" w:color="auto"/>
              <w:bottom w:val="single" w:sz="4" w:space="0" w:color="auto"/>
              <w:right w:val="single" w:sz="4" w:space="0" w:color="auto"/>
            </w:tcBorders>
            <w:vAlign w:val="center"/>
            <w:hideMark/>
          </w:tcPr>
          <w:p w14:paraId="1E69C5EC" w14:textId="77777777" w:rsidR="00917AEF" w:rsidRPr="0092423C" w:rsidRDefault="00917AEF" w:rsidP="00917AEF">
            <w:pPr>
              <w:pStyle w:val="NoSpacing"/>
              <w:spacing w:after="200"/>
              <w:jc w:val="both"/>
              <w:rPr>
                <w:rFonts w:ascii="Arial" w:hAnsi="Arial" w:cs="Arial"/>
              </w:rPr>
            </w:pPr>
            <w:r w:rsidRPr="0092423C">
              <w:rPr>
                <w:rFonts w:ascii="Arial" w:hAnsi="Arial" w:cs="Arial"/>
              </w:rPr>
              <w:t>1992 (Pensioners)</w:t>
            </w:r>
          </w:p>
        </w:tc>
        <w:tc>
          <w:tcPr>
            <w:tcW w:w="1318" w:type="dxa"/>
            <w:tcBorders>
              <w:top w:val="single" w:sz="4" w:space="0" w:color="auto"/>
              <w:left w:val="single" w:sz="4" w:space="0" w:color="auto"/>
              <w:bottom w:val="single" w:sz="4" w:space="0" w:color="auto"/>
              <w:right w:val="single" w:sz="4" w:space="0" w:color="auto"/>
            </w:tcBorders>
            <w:vAlign w:val="center"/>
            <w:hideMark/>
          </w:tcPr>
          <w:p w14:paraId="5ADABEAE" w14:textId="462FADC8" w:rsidR="00917AEF" w:rsidRPr="0092423C" w:rsidRDefault="00917AEF" w:rsidP="00917AEF">
            <w:pPr>
              <w:pStyle w:val="NoSpacing"/>
              <w:shd w:val="clear" w:color="auto" w:fill="FFFFFF" w:themeFill="background1"/>
              <w:spacing w:after="200"/>
              <w:jc w:val="both"/>
              <w:rPr>
                <w:rFonts w:ascii="Arial" w:hAnsi="Arial" w:cs="Arial"/>
                <w:lang w:val="en-US"/>
              </w:rPr>
            </w:pPr>
            <w:r w:rsidRPr="0092423C">
              <w:rPr>
                <w:rFonts w:ascii="Arial" w:hAnsi="Arial" w:cs="Arial"/>
                <w:lang w:val="en-US"/>
              </w:rPr>
              <w:t>44</w:t>
            </w:r>
            <w:r w:rsidR="00B55968" w:rsidRPr="0092423C">
              <w:rPr>
                <w:rFonts w:ascii="Arial" w:hAnsi="Arial" w:cs="Arial"/>
                <w:lang w:val="en-US"/>
              </w:rPr>
              <w:t>4</w:t>
            </w:r>
          </w:p>
        </w:tc>
        <w:tc>
          <w:tcPr>
            <w:tcW w:w="1318" w:type="dxa"/>
            <w:tcBorders>
              <w:top w:val="single" w:sz="4" w:space="0" w:color="auto"/>
              <w:left w:val="single" w:sz="4" w:space="0" w:color="auto"/>
              <w:bottom w:val="single" w:sz="4" w:space="0" w:color="auto"/>
              <w:right w:val="single" w:sz="4" w:space="0" w:color="auto"/>
            </w:tcBorders>
            <w:vAlign w:val="center"/>
          </w:tcPr>
          <w:p w14:paraId="186B2B02" w14:textId="680D4F6B" w:rsidR="00917AEF" w:rsidRPr="0092423C" w:rsidRDefault="00917AEF" w:rsidP="00917AEF">
            <w:pPr>
              <w:pStyle w:val="NoSpacing"/>
              <w:spacing w:after="200"/>
              <w:jc w:val="both"/>
              <w:rPr>
                <w:rFonts w:ascii="Arial" w:hAnsi="Arial" w:cs="Arial"/>
              </w:rPr>
            </w:pPr>
            <w:r w:rsidRPr="0092423C">
              <w:rPr>
                <w:rFonts w:ascii="Arial" w:hAnsi="Arial" w:cs="Arial"/>
                <w:lang w:val="en-US"/>
              </w:rPr>
              <w:t>443</w:t>
            </w:r>
          </w:p>
        </w:tc>
      </w:tr>
      <w:tr w:rsidR="00917AEF" w:rsidRPr="0092423C" w14:paraId="2FD3FA37" w14:textId="77777777" w:rsidTr="00917AEF">
        <w:tc>
          <w:tcPr>
            <w:tcW w:w="6162" w:type="dxa"/>
            <w:tcBorders>
              <w:top w:val="single" w:sz="4" w:space="0" w:color="auto"/>
              <w:left w:val="single" w:sz="4" w:space="0" w:color="auto"/>
              <w:bottom w:val="single" w:sz="4" w:space="0" w:color="auto"/>
              <w:right w:val="single" w:sz="4" w:space="0" w:color="auto"/>
            </w:tcBorders>
            <w:vAlign w:val="center"/>
            <w:hideMark/>
          </w:tcPr>
          <w:p w14:paraId="0AF5A3B6" w14:textId="77777777" w:rsidR="00917AEF" w:rsidRPr="0092423C" w:rsidRDefault="00917AEF" w:rsidP="00917AEF">
            <w:pPr>
              <w:pStyle w:val="NoSpacing"/>
              <w:spacing w:after="200"/>
              <w:jc w:val="both"/>
              <w:rPr>
                <w:rFonts w:ascii="Arial" w:hAnsi="Arial" w:cs="Arial"/>
              </w:rPr>
            </w:pPr>
            <w:r w:rsidRPr="0092423C">
              <w:rPr>
                <w:rFonts w:ascii="Arial" w:hAnsi="Arial" w:cs="Arial"/>
              </w:rPr>
              <w:t xml:space="preserve">1992 (Dependants – widow / partner / child pension) </w:t>
            </w:r>
          </w:p>
        </w:tc>
        <w:tc>
          <w:tcPr>
            <w:tcW w:w="1318" w:type="dxa"/>
            <w:tcBorders>
              <w:top w:val="single" w:sz="4" w:space="0" w:color="auto"/>
              <w:left w:val="single" w:sz="4" w:space="0" w:color="auto"/>
              <w:bottom w:val="single" w:sz="4" w:space="0" w:color="auto"/>
              <w:right w:val="single" w:sz="4" w:space="0" w:color="auto"/>
            </w:tcBorders>
            <w:vAlign w:val="center"/>
            <w:hideMark/>
          </w:tcPr>
          <w:p w14:paraId="0C962701" w14:textId="307436C3" w:rsidR="00917AEF" w:rsidRPr="0092423C" w:rsidRDefault="00917AEF" w:rsidP="00917AEF">
            <w:pPr>
              <w:pStyle w:val="NoSpacing"/>
              <w:shd w:val="clear" w:color="auto" w:fill="FFFFFF" w:themeFill="background1"/>
              <w:spacing w:after="200"/>
              <w:jc w:val="both"/>
              <w:rPr>
                <w:rFonts w:ascii="Arial" w:hAnsi="Arial" w:cs="Arial"/>
              </w:rPr>
            </w:pPr>
            <w:r w:rsidRPr="0092423C">
              <w:rPr>
                <w:rFonts w:ascii="Arial" w:hAnsi="Arial" w:cs="Arial"/>
              </w:rPr>
              <w:t>8</w:t>
            </w:r>
            <w:r w:rsidR="00510F6A" w:rsidRPr="0092423C">
              <w:rPr>
                <w:rFonts w:ascii="Arial" w:hAnsi="Arial" w:cs="Arial"/>
              </w:rPr>
              <w:t>1</w:t>
            </w:r>
          </w:p>
        </w:tc>
        <w:tc>
          <w:tcPr>
            <w:tcW w:w="1318" w:type="dxa"/>
            <w:tcBorders>
              <w:top w:val="single" w:sz="4" w:space="0" w:color="auto"/>
              <w:left w:val="single" w:sz="4" w:space="0" w:color="auto"/>
              <w:bottom w:val="single" w:sz="4" w:space="0" w:color="auto"/>
              <w:right w:val="single" w:sz="4" w:space="0" w:color="auto"/>
            </w:tcBorders>
            <w:vAlign w:val="center"/>
          </w:tcPr>
          <w:p w14:paraId="060E7612" w14:textId="61ACAFDC" w:rsidR="00917AEF" w:rsidRPr="0092423C" w:rsidRDefault="00917AEF" w:rsidP="00917AEF">
            <w:pPr>
              <w:pStyle w:val="NoSpacing"/>
              <w:spacing w:after="200"/>
              <w:jc w:val="both"/>
              <w:rPr>
                <w:rFonts w:ascii="Arial" w:hAnsi="Arial" w:cs="Arial"/>
              </w:rPr>
            </w:pPr>
            <w:r w:rsidRPr="0092423C">
              <w:rPr>
                <w:rFonts w:ascii="Arial" w:hAnsi="Arial" w:cs="Arial"/>
              </w:rPr>
              <w:t>83</w:t>
            </w:r>
          </w:p>
        </w:tc>
      </w:tr>
      <w:tr w:rsidR="00917AEF" w:rsidRPr="0092423C" w14:paraId="45DD8386" w14:textId="77777777" w:rsidTr="00917AEF">
        <w:tc>
          <w:tcPr>
            <w:tcW w:w="6162" w:type="dxa"/>
            <w:tcBorders>
              <w:top w:val="single" w:sz="4" w:space="0" w:color="auto"/>
              <w:left w:val="single" w:sz="4" w:space="0" w:color="auto"/>
              <w:bottom w:val="single" w:sz="4" w:space="0" w:color="auto"/>
              <w:right w:val="single" w:sz="4" w:space="0" w:color="auto"/>
            </w:tcBorders>
            <w:vAlign w:val="center"/>
            <w:hideMark/>
          </w:tcPr>
          <w:p w14:paraId="7232D4B0" w14:textId="77777777" w:rsidR="00917AEF" w:rsidRPr="0092423C" w:rsidRDefault="00917AEF" w:rsidP="00917AEF">
            <w:pPr>
              <w:pStyle w:val="NoSpacing"/>
              <w:spacing w:after="200"/>
              <w:jc w:val="both"/>
              <w:rPr>
                <w:rFonts w:ascii="Arial" w:hAnsi="Arial" w:cs="Arial"/>
              </w:rPr>
            </w:pPr>
            <w:r w:rsidRPr="0092423C">
              <w:rPr>
                <w:rFonts w:ascii="Arial" w:hAnsi="Arial" w:cs="Arial"/>
              </w:rPr>
              <w:t>2006</w:t>
            </w:r>
          </w:p>
        </w:tc>
        <w:tc>
          <w:tcPr>
            <w:tcW w:w="1318" w:type="dxa"/>
            <w:tcBorders>
              <w:top w:val="single" w:sz="4" w:space="0" w:color="auto"/>
              <w:left w:val="single" w:sz="4" w:space="0" w:color="auto"/>
              <w:bottom w:val="single" w:sz="4" w:space="0" w:color="auto"/>
              <w:right w:val="single" w:sz="4" w:space="0" w:color="auto"/>
            </w:tcBorders>
            <w:vAlign w:val="center"/>
            <w:hideMark/>
          </w:tcPr>
          <w:p w14:paraId="2316536F" w14:textId="77777777" w:rsidR="00917AEF" w:rsidRPr="0092423C" w:rsidRDefault="00917AEF" w:rsidP="00917AEF">
            <w:pPr>
              <w:pStyle w:val="NoSpacing"/>
              <w:shd w:val="clear" w:color="auto" w:fill="FFFFFF" w:themeFill="background1"/>
              <w:spacing w:after="200"/>
              <w:jc w:val="both"/>
              <w:rPr>
                <w:rFonts w:ascii="Arial" w:hAnsi="Arial" w:cs="Arial"/>
              </w:rPr>
            </w:pPr>
            <w:r w:rsidRPr="0092423C">
              <w:rPr>
                <w:rFonts w:ascii="Arial" w:hAnsi="Arial" w:cs="Arial"/>
              </w:rPr>
              <w:t>19</w:t>
            </w:r>
          </w:p>
        </w:tc>
        <w:tc>
          <w:tcPr>
            <w:tcW w:w="1318" w:type="dxa"/>
            <w:tcBorders>
              <w:top w:val="single" w:sz="4" w:space="0" w:color="auto"/>
              <w:left w:val="single" w:sz="4" w:space="0" w:color="auto"/>
              <w:bottom w:val="single" w:sz="4" w:space="0" w:color="auto"/>
              <w:right w:val="single" w:sz="4" w:space="0" w:color="auto"/>
            </w:tcBorders>
            <w:vAlign w:val="center"/>
          </w:tcPr>
          <w:p w14:paraId="0CA114BB" w14:textId="38E36BA8" w:rsidR="00917AEF" w:rsidRPr="0092423C" w:rsidRDefault="00917AEF" w:rsidP="00917AEF">
            <w:pPr>
              <w:pStyle w:val="NoSpacing"/>
              <w:spacing w:after="200"/>
              <w:jc w:val="both"/>
              <w:rPr>
                <w:rFonts w:ascii="Arial" w:hAnsi="Arial" w:cs="Arial"/>
              </w:rPr>
            </w:pPr>
            <w:r w:rsidRPr="0092423C">
              <w:rPr>
                <w:rFonts w:ascii="Arial" w:hAnsi="Arial" w:cs="Arial"/>
              </w:rPr>
              <w:t>19</w:t>
            </w:r>
          </w:p>
        </w:tc>
      </w:tr>
      <w:tr w:rsidR="00917AEF" w:rsidRPr="0092423C" w14:paraId="4A00AD64" w14:textId="77777777" w:rsidTr="00917AEF">
        <w:tc>
          <w:tcPr>
            <w:tcW w:w="6162" w:type="dxa"/>
            <w:tcBorders>
              <w:top w:val="single" w:sz="4" w:space="0" w:color="auto"/>
              <w:left w:val="single" w:sz="4" w:space="0" w:color="auto"/>
              <w:bottom w:val="single" w:sz="4" w:space="0" w:color="auto"/>
              <w:right w:val="single" w:sz="4" w:space="0" w:color="auto"/>
            </w:tcBorders>
            <w:vAlign w:val="center"/>
            <w:hideMark/>
          </w:tcPr>
          <w:p w14:paraId="5E0B7316" w14:textId="77777777" w:rsidR="00917AEF" w:rsidRPr="0092423C" w:rsidRDefault="00917AEF" w:rsidP="00917AEF">
            <w:pPr>
              <w:pStyle w:val="NoSpacing"/>
              <w:spacing w:after="200"/>
              <w:jc w:val="both"/>
              <w:rPr>
                <w:rFonts w:ascii="Arial" w:hAnsi="Arial" w:cs="Arial"/>
              </w:rPr>
            </w:pPr>
            <w:r w:rsidRPr="0092423C">
              <w:rPr>
                <w:rFonts w:ascii="Arial" w:hAnsi="Arial" w:cs="Arial"/>
              </w:rPr>
              <w:t>2006 (Dependants – widow / partner / child pension)</w:t>
            </w:r>
          </w:p>
        </w:tc>
        <w:tc>
          <w:tcPr>
            <w:tcW w:w="1318" w:type="dxa"/>
            <w:tcBorders>
              <w:top w:val="single" w:sz="4" w:space="0" w:color="auto"/>
              <w:left w:val="single" w:sz="4" w:space="0" w:color="auto"/>
              <w:bottom w:val="single" w:sz="4" w:space="0" w:color="auto"/>
              <w:right w:val="single" w:sz="4" w:space="0" w:color="auto"/>
            </w:tcBorders>
            <w:vAlign w:val="center"/>
            <w:hideMark/>
          </w:tcPr>
          <w:p w14:paraId="784AF0CD" w14:textId="77777777" w:rsidR="00917AEF" w:rsidRPr="0092423C" w:rsidRDefault="00917AEF" w:rsidP="00917AEF">
            <w:pPr>
              <w:pStyle w:val="NoSpacing"/>
              <w:shd w:val="clear" w:color="auto" w:fill="FFFFFF" w:themeFill="background1"/>
              <w:spacing w:after="200"/>
              <w:jc w:val="both"/>
              <w:rPr>
                <w:rFonts w:ascii="Arial" w:hAnsi="Arial" w:cs="Arial"/>
              </w:rPr>
            </w:pPr>
            <w:r w:rsidRPr="0092423C">
              <w:rPr>
                <w:rFonts w:ascii="Arial" w:hAnsi="Arial" w:cs="Arial"/>
              </w:rPr>
              <w:t>1</w:t>
            </w:r>
          </w:p>
        </w:tc>
        <w:tc>
          <w:tcPr>
            <w:tcW w:w="1318" w:type="dxa"/>
            <w:tcBorders>
              <w:top w:val="single" w:sz="4" w:space="0" w:color="auto"/>
              <w:left w:val="single" w:sz="4" w:space="0" w:color="auto"/>
              <w:bottom w:val="single" w:sz="4" w:space="0" w:color="auto"/>
              <w:right w:val="single" w:sz="4" w:space="0" w:color="auto"/>
            </w:tcBorders>
            <w:vAlign w:val="center"/>
          </w:tcPr>
          <w:p w14:paraId="0567CD67" w14:textId="07A5D29E" w:rsidR="00917AEF" w:rsidRPr="0092423C" w:rsidRDefault="00917AEF" w:rsidP="00917AEF">
            <w:pPr>
              <w:pStyle w:val="NoSpacing"/>
              <w:spacing w:after="200"/>
              <w:jc w:val="both"/>
              <w:rPr>
                <w:rFonts w:ascii="Arial" w:hAnsi="Arial" w:cs="Arial"/>
              </w:rPr>
            </w:pPr>
            <w:r w:rsidRPr="0092423C">
              <w:rPr>
                <w:rFonts w:ascii="Arial" w:hAnsi="Arial" w:cs="Arial"/>
              </w:rPr>
              <w:t>1</w:t>
            </w:r>
          </w:p>
        </w:tc>
      </w:tr>
      <w:tr w:rsidR="00917AEF" w:rsidRPr="0092423C" w14:paraId="177328CF" w14:textId="77777777" w:rsidTr="00917AEF">
        <w:tc>
          <w:tcPr>
            <w:tcW w:w="6162" w:type="dxa"/>
            <w:tcBorders>
              <w:top w:val="single" w:sz="4" w:space="0" w:color="auto"/>
              <w:left w:val="single" w:sz="4" w:space="0" w:color="auto"/>
              <w:bottom w:val="single" w:sz="4" w:space="0" w:color="auto"/>
              <w:right w:val="single" w:sz="4" w:space="0" w:color="auto"/>
            </w:tcBorders>
            <w:vAlign w:val="center"/>
            <w:hideMark/>
          </w:tcPr>
          <w:p w14:paraId="1708BE75" w14:textId="77777777" w:rsidR="00917AEF" w:rsidRPr="0092423C" w:rsidRDefault="00917AEF" w:rsidP="00917AEF">
            <w:pPr>
              <w:pStyle w:val="NoSpacing"/>
              <w:spacing w:after="200"/>
              <w:jc w:val="both"/>
              <w:rPr>
                <w:rFonts w:ascii="Arial" w:hAnsi="Arial" w:cs="Arial"/>
              </w:rPr>
            </w:pPr>
            <w:r w:rsidRPr="0092423C">
              <w:rPr>
                <w:rFonts w:ascii="Arial" w:hAnsi="Arial" w:cs="Arial"/>
              </w:rPr>
              <w:t>2015</w:t>
            </w:r>
          </w:p>
        </w:tc>
        <w:tc>
          <w:tcPr>
            <w:tcW w:w="1318" w:type="dxa"/>
            <w:tcBorders>
              <w:top w:val="single" w:sz="4" w:space="0" w:color="auto"/>
              <w:left w:val="single" w:sz="4" w:space="0" w:color="auto"/>
              <w:bottom w:val="single" w:sz="4" w:space="0" w:color="auto"/>
              <w:right w:val="single" w:sz="4" w:space="0" w:color="auto"/>
            </w:tcBorders>
            <w:vAlign w:val="center"/>
            <w:hideMark/>
          </w:tcPr>
          <w:p w14:paraId="457F3BE9" w14:textId="1535471D" w:rsidR="00917AEF" w:rsidRPr="0092423C" w:rsidRDefault="00917AEF" w:rsidP="00917AEF">
            <w:pPr>
              <w:pStyle w:val="NoSpacing"/>
              <w:shd w:val="clear" w:color="auto" w:fill="FFFFFF" w:themeFill="background1"/>
              <w:spacing w:after="200"/>
              <w:jc w:val="both"/>
              <w:rPr>
                <w:rFonts w:ascii="Arial" w:hAnsi="Arial" w:cs="Arial"/>
              </w:rPr>
            </w:pPr>
            <w:r w:rsidRPr="0092423C">
              <w:rPr>
                <w:rFonts w:ascii="Arial" w:hAnsi="Arial" w:cs="Arial"/>
              </w:rPr>
              <w:t>1</w:t>
            </w:r>
            <w:r w:rsidR="0062285F" w:rsidRPr="0092423C">
              <w:rPr>
                <w:rFonts w:ascii="Arial" w:hAnsi="Arial" w:cs="Arial"/>
              </w:rPr>
              <w:t>3</w:t>
            </w:r>
          </w:p>
        </w:tc>
        <w:tc>
          <w:tcPr>
            <w:tcW w:w="1318" w:type="dxa"/>
            <w:tcBorders>
              <w:top w:val="single" w:sz="4" w:space="0" w:color="auto"/>
              <w:left w:val="single" w:sz="4" w:space="0" w:color="auto"/>
              <w:bottom w:val="single" w:sz="4" w:space="0" w:color="auto"/>
              <w:right w:val="single" w:sz="4" w:space="0" w:color="auto"/>
            </w:tcBorders>
            <w:vAlign w:val="center"/>
          </w:tcPr>
          <w:p w14:paraId="2A531F7B" w14:textId="7F8DAEEB" w:rsidR="00917AEF" w:rsidRPr="0092423C" w:rsidRDefault="00917AEF" w:rsidP="00917AEF">
            <w:pPr>
              <w:pStyle w:val="NoSpacing"/>
              <w:spacing w:after="200"/>
              <w:jc w:val="both"/>
              <w:rPr>
                <w:rFonts w:ascii="Arial" w:hAnsi="Arial" w:cs="Arial"/>
              </w:rPr>
            </w:pPr>
            <w:r w:rsidRPr="0092423C">
              <w:rPr>
                <w:rFonts w:ascii="Arial" w:hAnsi="Arial" w:cs="Arial"/>
              </w:rPr>
              <w:t>10</w:t>
            </w:r>
          </w:p>
        </w:tc>
      </w:tr>
      <w:tr w:rsidR="00917AEF" w:rsidRPr="0092423C" w14:paraId="34B29D3F" w14:textId="77777777" w:rsidTr="00917AEF">
        <w:tc>
          <w:tcPr>
            <w:tcW w:w="6162" w:type="dxa"/>
            <w:tcBorders>
              <w:top w:val="single" w:sz="4" w:space="0" w:color="auto"/>
              <w:left w:val="single" w:sz="4" w:space="0" w:color="auto"/>
              <w:bottom w:val="single" w:sz="4" w:space="0" w:color="auto"/>
              <w:right w:val="single" w:sz="4" w:space="0" w:color="auto"/>
            </w:tcBorders>
            <w:vAlign w:val="center"/>
            <w:hideMark/>
          </w:tcPr>
          <w:p w14:paraId="37F13D14" w14:textId="77777777" w:rsidR="00917AEF" w:rsidRPr="0092423C" w:rsidRDefault="00917AEF" w:rsidP="00917AEF">
            <w:pPr>
              <w:pStyle w:val="NoSpacing"/>
              <w:spacing w:after="200"/>
              <w:jc w:val="both"/>
              <w:rPr>
                <w:rFonts w:ascii="Arial" w:hAnsi="Arial" w:cs="Arial"/>
              </w:rPr>
            </w:pPr>
            <w:r w:rsidRPr="0092423C">
              <w:rPr>
                <w:rFonts w:ascii="Arial" w:hAnsi="Arial" w:cs="Arial"/>
              </w:rPr>
              <w:lastRenderedPageBreak/>
              <w:t>2015 (Dependants – widow / partner / child pension)</w:t>
            </w:r>
          </w:p>
        </w:tc>
        <w:tc>
          <w:tcPr>
            <w:tcW w:w="1318" w:type="dxa"/>
            <w:tcBorders>
              <w:top w:val="single" w:sz="4" w:space="0" w:color="auto"/>
              <w:left w:val="single" w:sz="4" w:space="0" w:color="auto"/>
              <w:bottom w:val="single" w:sz="4" w:space="0" w:color="auto"/>
              <w:right w:val="single" w:sz="4" w:space="0" w:color="auto"/>
            </w:tcBorders>
            <w:vAlign w:val="center"/>
            <w:hideMark/>
          </w:tcPr>
          <w:p w14:paraId="3CC104BA" w14:textId="77777777" w:rsidR="00917AEF" w:rsidRPr="0092423C" w:rsidRDefault="00917AEF" w:rsidP="00917AEF">
            <w:pPr>
              <w:pStyle w:val="NoSpacing"/>
              <w:shd w:val="clear" w:color="auto" w:fill="FFFFFF" w:themeFill="background1"/>
              <w:spacing w:after="200"/>
              <w:jc w:val="both"/>
              <w:rPr>
                <w:rFonts w:ascii="Arial" w:hAnsi="Arial" w:cs="Arial"/>
              </w:rPr>
            </w:pPr>
            <w:r w:rsidRPr="0092423C">
              <w:rPr>
                <w:rFonts w:ascii="Arial" w:hAnsi="Arial" w:cs="Arial"/>
              </w:rPr>
              <w:t>3</w:t>
            </w:r>
          </w:p>
        </w:tc>
        <w:tc>
          <w:tcPr>
            <w:tcW w:w="1318" w:type="dxa"/>
            <w:tcBorders>
              <w:top w:val="single" w:sz="4" w:space="0" w:color="auto"/>
              <w:left w:val="single" w:sz="4" w:space="0" w:color="auto"/>
              <w:bottom w:val="single" w:sz="4" w:space="0" w:color="auto"/>
              <w:right w:val="single" w:sz="4" w:space="0" w:color="auto"/>
            </w:tcBorders>
            <w:vAlign w:val="center"/>
          </w:tcPr>
          <w:p w14:paraId="7089A937" w14:textId="797C5E0F" w:rsidR="00917AEF" w:rsidRPr="0092423C" w:rsidRDefault="00917AEF" w:rsidP="00917AEF">
            <w:pPr>
              <w:pStyle w:val="NoSpacing"/>
              <w:spacing w:after="200"/>
              <w:jc w:val="both"/>
              <w:rPr>
                <w:rFonts w:ascii="Arial" w:hAnsi="Arial" w:cs="Arial"/>
              </w:rPr>
            </w:pPr>
            <w:r w:rsidRPr="0092423C">
              <w:rPr>
                <w:rFonts w:ascii="Arial" w:hAnsi="Arial" w:cs="Arial"/>
              </w:rPr>
              <w:t>3</w:t>
            </w:r>
          </w:p>
        </w:tc>
      </w:tr>
      <w:tr w:rsidR="00917AEF" w:rsidRPr="0092423C" w14:paraId="5C3F7249" w14:textId="77777777" w:rsidTr="00917AEF">
        <w:tc>
          <w:tcPr>
            <w:tcW w:w="6162" w:type="dxa"/>
            <w:tcBorders>
              <w:top w:val="single" w:sz="4" w:space="0" w:color="auto"/>
              <w:left w:val="single" w:sz="4" w:space="0" w:color="auto"/>
              <w:bottom w:val="single" w:sz="4" w:space="0" w:color="auto"/>
              <w:right w:val="single" w:sz="4" w:space="0" w:color="auto"/>
            </w:tcBorders>
            <w:vAlign w:val="center"/>
            <w:hideMark/>
          </w:tcPr>
          <w:p w14:paraId="43475539" w14:textId="77777777" w:rsidR="00917AEF" w:rsidRPr="0092423C" w:rsidRDefault="00917AEF" w:rsidP="00917AEF">
            <w:pPr>
              <w:pStyle w:val="NoSpacing"/>
              <w:spacing w:after="200"/>
              <w:jc w:val="both"/>
              <w:rPr>
                <w:rFonts w:ascii="Arial" w:hAnsi="Arial" w:cs="Arial"/>
              </w:rPr>
            </w:pPr>
            <w:r w:rsidRPr="0092423C">
              <w:rPr>
                <w:rFonts w:ascii="Arial" w:hAnsi="Arial" w:cs="Arial"/>
              </w:rPr>
              <w:t>Retained Modified</w:t>
            </w:r>
          </w:p>
        </w:tc>
        <w:tc>
          <w:tcPr>
            <w:tcW w:w="1318" w:type="dxa"/>
            <w:tcBorders>
              <w:top w:val="single" w:sz="4" w:space="0" w:color="auto"/>
              <w:left w:val="single" w:sz="4" w:space="0" w:color="auto"/>
              <w:bottom w:val="single" w:sz="4" w:space="0" w:color="auto"/>
              <w:right w:val="single" w:sz="4" w:space="0" w:color="auto"/>
            </w:tcBorders>
            <w:vAlign w:val="center"/>
            <w:hideMark/>
          </w:tcPr>
          <w:p w14:paraId="229D55A8" w14:textId="11C040A6" w:rsidR="00917AEF" w:rsidRPr="0092423C" w:rsidRDefault="00917AEF" w:rsidP="00917AEF">
            <w:pPr>
              <w:pStyle w:val="NoSpacing"/>
              <w:shd w:val="clear" w:color="auto" w:fill="FFFFFF" w:themeFill="background1"/>
              <w:spacing w:after="200"/>
              <w:jc w:val="both"/>
              <w:rPr>
                <w:rFonts w:ascii="Arial" w:hAnsi="Arial" w:cs="Arial"/>
              </w:rPr>
            </w:pPr>
            <w:r w:rsidRPr="0092423C">
              <w:rPr>
                <w:rFonts w:ascii="Arial" w:hAnsi="Arial" w:cs="Arial"/>
              </w:rPr>
              <w:t>5</w:t>
            </w:r>
            <w:r w:rsidR="00334793" w:rsidRPr="0092423C">
              <w:rPr>
                <w:rFonts w:ascii="Arial" w:hAnsi="Arial" w:cs="Arial"/>
              </w:rPr>
              <w:t>3</w:t>
            </w:r>
          </w:p>
        </w:tc>
        <w:tc>
          <w:tcPr>
            <w:tcW w:w="1318" w:type="dxa"/>
            <w:tcBorders>
              <w:top w:val="single" w:sz="4" w:space="0" w:color="auto"/>
              <w:left w:val="single" w:sz="4" w:space="0" w:color="auto"/>
              <w:bottom w:val="single" w:sz="4" w:space="0" w:color="auto"/>
              <w:right w:val="single" w:sz="4" w:space="0" w:color="auto"/>
            </w:tcBorders>
            <w:vAlign w:val="center"/>
          </w:tcPr>
          <w:p w14:paraId="379718BD" w14:textId="33316CD9" w:rsidR="00917AEF" w:rsidRPr="0092423C" w:rsidRDefault="00917AEF" w:rsidP="00917AEF">
            <w:pPr>
              <w:pStyle w:val="NoSpacing"/>
              <w:spacing w:after="200"/>
              <w:jc w:val="both"/>
              <w:rPr>
                <w:rFonts w:ascii="Arial" w:hAnsi="Arial" w:cs="Arial"/>
              </w:rPr>
            </w:pPr>
            <w:r w:rsidRPr="0092423C">
              <w:rPr>
                <w:rFonts w:ascii="Arial" w:hAnsi="Arial" w:cs="Arial"/>
              </w:rPr>
              <w:t>52</w:t>
            </w:r>
          </w:p>
        </w:tc>
      </w:tr>
      <w:tr w:rsidR="00917AEF" w:rsidRPr="0092423C" w14:paraId="65D9F420" w14:textId="77777777" w:rsidTr="00917AEF">
        <w:tc>
          <w:tcPr>
            <w:tcW w:w="6162" w:type="dxa"/>
            <w:tcBorders>
              <w:top w:val="single" w:sz="4" w:space="0" w:color="auto"/>
              <w:left w:val="single" w:sz="4" w:space="0" w:color="auto"/>
              <w:bottom w:val="single" w:sz="4" w:space="0" w:color="auto"/>
              <w:right w:val="single" w:sz="4" w:space="0" w:color="auto"/>
            </w:tcBorders>
            <w:vAlign w:val="center"/>
            <w:hideMark/>
          </w:tcPr>
          <w:p w14:paraId="091052EF" w14:textId="77777777" w:rsidR="00917AEF" w:rsidRPr="0092423C" w:rsidRDefault="00917AEF" w:rsidP="00917AEF">
            <w:pPr>
              <w:pStyle w:val="NoSpacing"/>
              <w:spacing w:after="200"/>
              <w:jc w:val="both"/>
              <w:rPr>
                <w:rFonts w:ascii="Arial" w:hAnsi="Arial" w:cs="Arial"/>
              </w:rPr>
            </w:pPr>
            <w:r w:rsidRPr="0092423C">
              <w:rPr>
                <w:rFonts w:ascii="Arial" w:hAnsi="Arial" w:cs="Arial"/>
              </w:rPr>
              <w:t>Retained Modified (Dependants – widow / partner / child pension)</w:t>
            </w:r>
          </w:p>
        </w:tc>
        <w:tc>
          <w:tcPr>
            <w:tcW w:w="1318" w:type="dxa"/>
            <w:tcBorders>
              <w:top w:val="single" w:sz="4" w:space="0" w:color="auto"/>
              <w:left w:val="single" w:sz="4" w:space="0" w:color="auto"/>
              <w:bottom w:val="single" w:sz="4" w:space="0" w:color="auto"/>
              <w:right w:val="single" w:sz="4" w:space="0" w:color="auto"/>
            </w:tcBorders>
            <w:vAlign w:val="center"/>
            <w:hideMark/>
          </w:tcPr>
          <w:p w14:paraId="524A4A54" w14:textId="77777777" w:rsidR="00917AEF" w:rsidRPr="0092423C" w:rsidRDefault="00917AEF" w:rsidP="00917AEF">
            <w:pPr>
              <w:pStyle w:val="NoSpacing"/>
              <w:shd w:val="clear" w:color="auto" w:fill="FFFFFF" w:themeFill="background1"/>
              <w:spacing w:after="200"/>
              <w:jc w:val="both"/>
              <w:rPr>
                <w:rFonts w:ascii="Arial" w:hAnsi="Arial" w:cs="Arial"/>
              </w:rPr>
            </w:pPr>
            <w:r w:rsidRPr="0092423C">
              <w:rPr>
                <w:rFonts w:ascii="Arial" w:hAnsi="Arial" w:cs="Arial"/>
              </w:rPr>
              <w:t>2</w:t>
            </w:r>
          </w:p>
        </w:tc>
        <w:tc>
          <w:tcPr>
            <w:tcW w:w="1318" w:type="dxa"/>
            <w:tcBorders>
              <w:top w:val="single" w:sz="4" w:space="0" w:color="auto"/>
              <w:left w:val="single" w:sz="4" w:space="0" w:color="auto"/>
              <w:bottom w:val="single" w:sz="4" w:space="0" w:color="auto"/>
              <w:right w:val="single" w:sz="4" w:space="0" w:color="auto"/>
            </w:tcBorders>
            <w:vAlign w:val="center"/>
          </w:tcPr>
          <w:p w14:paraId="0DACC57F" w14:textId="0A297D01" w:rsidR="00917AEF" w:rsidRPr="0092423C" w:rsidRDefault="00917AEF" w:rsidP="00917AEF">
            <w:pPr>
              <w:pStyle w:val="NoSpacing"/>
              <w:spacing w:after="200"/>
              <w:jc w:val="both"/>
              <w:rPr>
                <w:rFonts w:ascii="Arial" w:hAnsi="Arial" w:cs="Arial"/>
              </w:rPr>
            </w:pPr>
            <w:r w:rsidRPr="0092423C">
              <w:rPr>
                <w:rFonts w:ascii="Arial" w:hAnsi="Arial" w:cs="Arial"/>
              </w:rPr>
              <w:t>2</w:t>
            </w:r>
          </w:p>
        </w:tc>
      </w:tr>
    </w:tbl>
    <w:p w14:paraId="7577505B" w14:textId="77777777" w:rsidR="00AD44CB" w:rsidRPr="0092423C" w:rsidRDefault="00AD44CB" w:rsidP="00AD44CB">
      <w:pPr>
        <w:pStyle w:val="NoSpacing"/>
        <w:spacing w:after="200"/>
        <w:jc w:val="both"/>
        <w:rPr>
          <w:rFonts w:ascii="Arial" w:hAnsi="Arial" w:cs="Arial"/>
        </w:rPr>
      </w:pPr>
    </w:p>
    <w:p w14:paraId="7D52A000" w14:textId="77777777" w:rsidR="00AD44CB" w:rsidRPr="0092423C" w:rsidRDefault="00AD44CB" w:rsidP="00AD44CB">
      <w:pPr>
        <w:pStyle w:val="NoSpacing"/>
        <w:spacing w:after="200"/>
        <w:ind w:left="567" w:hanging="567"/>
        <w:jc w:val="both"/>
        <w:rPr>
          <w:rFonts w:ascii="Arial" w:hAnsi="Arial" w:cs="Arial"/>
        </w:rPr>
      </w:pPr>
      <w:r w:rsidRPr="0092423C">
        <w:rPr>
          <w:rFonts w:ascii="Arial" w:hAnsi="Arial" w:cs="Arial"/>
        </w:rPr>
        <w:t>3.3.2</w:t>
      </w:r>
      <w:r w:rsidRPr="0092423C">
        <w:rPr>
          <w:rFonts w:ascii="Arial" w:hAnsi="Arial" w:cs="Arial"/>
        </w:rPr>
        <w:tab/>
      </w:r>
      <w:r w:rsidRPr="0092423C">
        <w:rPr>
          <w:rFonts w:ascii="Arial" w:hAnsi="Arial" w:cs="Arial"/>
        </w:rPr>
        <w:tab/>
        <w:t>The variations for members with a pensioner status are as follows:</w:t>
      </w:r>
    </w:p>
    <w:p w14:paraId="65D12465" w14:textId="7E24651D" w:rsidR="00AD44CB" w:rsidRPr="0092423C" w:rsidRDefault="00AD44CB" w:rsidP="00AD44CB">
      <w:pPr>
        <w:pStyle w:val="NoSpacing"/>
        <w:numPr>
          <w:ilvl w:val="0"/>
          <w:numId w:val="39"/>
        </w:numPr>
        <w:jc w:val="both"/>
        <w:rPr>
          <w:rFonts w:ascii="Arial" w:hAnsi="Arial" w:cs="Arial"/>
        </w:rPr>
      </w:pPr>
      <w:r w:rsidRPr="0092423C">
        <w:rPr>
          <w:rFonts w:ascii="Arial" w:hAnsi="Arial" w:cs="Arial"/>
          <w:b/>
        </w:rPr>
        <w:t>1992 scheme</w:t>
      </w:r>
      <w:r w:rsidRPr="0092423C">
        <w:rPr>
          <w:rFonts w:ascii="Arial" w:hAnsi="Arial" w:cs="Arial"/>
          <w:b/>
        </w:rPr>
        <w:tab/>
      </w:r>
      <w:r w:rsidRPr="0092423C">
        <w:rPr>
          <w:rFonts w:ascii="Arial" w:hAnsi="Arial" w:cs="Arial"/>
          <w:b/>
        </w:rPr>
        <w:tab/>
      </w:r>
      <w:r w:rsidR="00F81962" w:rsidRPr="0092423C">
        <w:rPr>
          <w:rFonts w:ascii="Arial" w:hAnsi="Arial" w:cs="Arial"/>
          <w:bCs/>
        </w:rPr>
        <w:t>2</w:t>
      </w:r>
      <w:r w:rsidRPr="0092423C">
        <w:rPr>
          <w:rFonts w:ascii="Arial" w:hAnsi="Arial" w:cs="Arial"/>
          <w:b/>
        </w:rPr>
        <w:t xml:space="preserve"> </w:t>
      </w:r>
      <w:r w:rsidRPr="0092423C">
        <w:rPr>
          <w:rFonts w:ascii="Arial" w:hAnsi="Arial" w:cs="Arial"/>
        </w:rPr>
        <w:t xml:space="preserve">retirement from active status </w:t>
      </w:r>
      <w:proofErr w:type="gramStart"/>
      <w:r w:rsidRPr="0092423C">
        <w:rPr>
          <w:rFonts w:ascii="Arial" w:hAnsi="Arial" w:cs="Arial"/>
        </w:rPr>
        <w:t>implemented</w:t>
      </w:r>
      <w:proofErr w:type="gramEnd"/>
    </w:p>
    <w:p w14:paraId="236E3566" w14:textId="6BC38A23" w:rsidR="00AD44CB" w:rsidRPr="0092423C" w:rsidRDefault="00C53955" w:rsidP="00AD44CB">
      <w:pPr>
        <w:pStyle w:val="NoSpacing"/>
        <w:ind w:left="2520" w:firstLine="360"/>
        <w:jc w:val="both"/>
        <w:rPr>
          <w:rFonts w:ascii="Arial" w:hAnsi="Arial" w:cs="Arial"/>
        </w:rPr>
      </w:pPr>
      <w:r w:rsidRPr="0092423C">
        <w:rPr>
          <w:rFonts w:ascii="Arial" w:hAnsi="Arial" w:cs="Arial"/>
        </w:rPr>
        <w:t>1</w:t>
      </w:r>
      <w:r w:rsidR="00AD44CB" w:rsidRPr="0092423C">
        <w:rPr>
          <w:rFonts w:ascii="Arial" w:hAnsi="Arial" w:cs="Arial"/>
        </w:rPr>
        <w:t xml:space="preserve"> death of pensioners</w:t>
      </w:r>
    </w:p>
    <w:p w14:paraId="47974ABD" w14:textId="371FB039" w:rsidR="00C53955" w:rsidRPr="0092423C" w:rsidRDefault="00C53955" w:rsidP="00AD44CB">
      <w:pPr>
        <w:pStyle w:val="NoSpacing"/>
        <w:ind w:left="2520" w:firstLine="360"/>
        <w:jc w:val="both"/>
        <w:rPr>
          <w:rFonts w:ascii="Arial" w:hAnsi="Arial" w:cs="Arial"/>
        </w:rPr>
      </w:pPr>
      <w:r w:rsidRPr="0092423C">
        <w:rPr>
          <w:rFonts w:ascii="Arial" w:hAnsi="Arial" w:cs="Arial"/>
        </w:rPr>
        <w:t>1 death of dependant</w:t>
      </w:r>
    </w:p>
    <w:p w14:paraId="56034373" w14:textId="77777777" w:rsidR="00AD44CB" w:rsidRPr="0092423C" w:rsidRDefault="00AD44CB" w:rsidP="00AD44CB">
      <w:pPr>
        <w:pStyle w:val="NoSpacing"/>
        <w:ind w:left="2520" w:firstLine="360"/>
        <w:jc w:val="both"/>
        <w:rPr>
          <w:rFonts w:ascii="Arial" w:hAnsi="Arial" w:cs="Arial"/>
        </w:rPr>
      </w:pPr>
    </w:p>
    <w:p w14:paraId="563F71DC" w14:textId="77777777" w:rsidR="00AD44CB" w:rsidRPr="0092423C" w:rsidRDefault="00AD44CB" w:rsidP="00AD44CB">
      <w:pPr>
        <w:pStyle w:val="NoSpacing"/>
        <w:numPr>
          <w:ilvl w:val="0"/>
          <w:numId w:val="39"/>
        </w:numPr>
        <w:spacing w:after="200"/>
        <w:jc w:val="both"/>
        <w:rPr>
          <w:rFonts w:ascii="Arial" w:hAnsi="Arial" w:cs="Arial"/>
        </w:rPr>
      </w:pPr>
      <w:r w:rsidRPr="0092423C">
        <w:rPr>
          <w:rFonts w:ascii="Arial" w:hAnsi="Arial" w:cs="Arial"/>
          <w:b/>
        </w:rPr>
        <w:t>2006 scheme</w:t>
      </w:r>
      <w:r w:rsidRPr="0092423C">
        <w:rPr>
          <w:rFonts w:ascii="Arial" w:hAnsi="Arial" w:cs="Arial"/>
        </w:rPr>
        <w:tab/>
      </w:r>
      <w:r w:rsidRPr="0092423C">
        <w:rPr>
          <w:rFonts w:ascii="Arial" w:hAnsi="Arial" w:cs="Arial"/>
        </w:rPr>
        <w:tab/>
      </w:r>
      <w:r w:rsidRPr="0092423C">
        <w:rPr>
          <w:rFonts w:ascii="Arial" w:hAnsi="Arial" w:cs="Arial"/>
          <w:bCs/>
        </w:rPr>
        <w:t xml:space="preserve">no </w:t>
      </w:r>
      <w:proofErr w:type="gramStart"/>
      <w:r w:rsidRPr="0092423C">
        <w:rPr>
          <w:rFonts w:ascii="Arial" w:hAnsi="Arial" w:cs="Arial"/>
          <w:bCs/>
        </w:rPr>
        <w:t>movement</w:t>
      </w:r>
      <w:proofErr w:type="gramEnd"/>
      <w:r w:rsidRPr="0092423C">
        <w:rPr>
          <w:rFonts w:ascii="Arial" w:hAnsi="Arial" w:cs="Arial"/>
        </w:rPr>
        <w:t xml:space="preserve"> </w:t>
      </w:r>
    </w:p>
    <w:p w14:paraId="4BC6BEF7" w14:textId="07C7B02F" w:rsidR="009F5686" w:rsidRPr="0092423C" w:rsidRDefault="00AD44CB" w:rsidP="009F5686">
      <w:pPr>
        <w:pStyle w:val="NoSpacing"/>
        <w:numPr>
          <w:ilvl w:val="0"/>
          <w:numId w:val="39"/>
        </w:numPr>
        <w:jc w:val="both"/>
        <w:rPr>
          <w:rFonts w:ascii="Arial" w:hAnsi="Arial" w:cs="Arial"/>
        </w:rPr>
      </w:pPr>
      <w:r w:rsidRPr="0092423C">
        <w:rPr>
          <w:rFonts w:ascii="Arial" w:hAnsi="Arial" w:cs="Arial"/>
          <w:b/>
        </w:rPr>
        <w:t>2015 scheme</w:t>
      </w:r>
      <w:r w:rsidRPr="0092423C">
        <w:rPr>
          <w:rFonts w:ascii="Arial" w:hAnsi="Arial" w:cs="Arial"/>
          <w:b/>
        </w:rPr>
        <w:tab/>
      </w:r>
      <w:r w:rsidRPr="0092423C">
        <w:rPr>
          <w:rFonts w:ascii="Arial" w:hAnsi="Arial" w:cs="Arial"/>
          <w:b/>
        </w:rPr>
        <w:tab/>
      </w:r>
      <w:r w:rsidR="0062285F" w:rsidRPr="0092423C">
        <w:rPr>
          <w:rFonts w:ascii="Arial" w:hAnsi="Arial" w:cs="Arial"/>
          <w:bCs/>
        </w:rPr>
        <w:t>3</w:t>
      </w:r>
      <w:r w:rsidR="009F5686" w:rsidRPr="0092423C">
        <w:rPr>
          <w:rFonts w:ascii="Arial" w:hAnsi="Arial" w:cs="Arial"/>
          <w:b/>
        </w:rPr>
        <w:t xml:space="preserve"> </w:t>
      </w:r>
      <w:r w:rsidR="009F5686" w:rsidRPr="0092423C">
        <w:rPr>
          <w:rFonts w:ascii="Arial" w:hAnsi="Arial" w:cs="Arial"/>
        </w:rPr>
        <w:t xml:space="preserve">retirement from active status </w:t>
      </w:r>
      <w:proofErr w:type="gramStart"/>
      <w:r w:rsidR="009F5686" w:rsidRPr="0092423C">
        <w:rPr>
          <w:rFonts w:ascii="Arial" w:hAnsi="Arial" w:cs="Arial"/>
        </w:rPr>
        <w:t>implemented</w:t>
      </w:r>
      <w:proofErr w:type="gramEnd"/>
    </w:p>
    <w:p w14:paraId="252A0A02" w14:textId="77777777" w:rsidR="0062285F" w:rsidRPr="0092423C" w:rsidRDefault="0062285F" w:rsidP="0062285F">
      <w:pPr>
        <w:pStyle w:val="NoSpacing"/>
        <w:ind w:left="2520" w:firstLine="360"/>
        <w:jc w:val="both"/>
        <w:rPr>
          <w:rFonts w:ascii="Arial" w:hAnsi="Arial" w:cs="Arial"/>
        </w:rPr>
      </w:pPr>
    </w:p>
    <w:p w14:paraId="27F46F47" w14:textId="0D212289" w:rsidR="00AD44CB" w:rsidRPr="0092423C" w:rsidRDefault="00AD44CB" w:rsidP="00AD44CB">
      <w:pPr>
        <w:pStyle w:val="NoSpacing"/>
        <w:numPr>
          <w:ilvl w:val="0"/>
          <w:numId w:val="39"/>
        </w:numPr>
        <w:jc w:val="both"/>
        <w:rPr>
          <w:rFonts w:ascii="Arial" w:hAnsi="Arial" w:cs="Arial"/>
        </w:rPr>
      </w:pPr>
      <w:r w:rsidRPr="0092423C">
        <w:rPr>
          <w:rFonts w:ascii="Arial" w:hAnsi="Arial" w:cs="Arial"/>
          <w:b/>
        </w:rPr>
        <w:t>Retained modified</w:t>
      </w:r>
      <w:r w:rsidRPr="0092423C">
        <w:rPr>
          <w:rFonts w:ascii="Arial" w:hAnsi="Arial" w:cs="Arial"/>
          <w:b/>
        </w:rPr>
        <w:tab/>
      </w:r>
      <w:r w:rsidR="004654AC" w:rsidRPr="0092423C">
        <w:rPr>
          <w:rFonts w:ascii="Arial" w:hAnsi="Arial" w:cs="Arial"/>
          <w:bCs/>
        </w:rPr>
        <w:t xml:space="preserve">no </w:t>
      </w:r>
      <w:proofErr w:type="gramStart"/>
      <w:r w:rsidR="004654AC" w:rsidRPr="0092423C">
        <w:rPr>
          <w:rFonts w:ascii="Arial" w:hAnsi="Arial" w:cs="Arial"/>
          <w:bCs/>
        </w:rPr>
        <w:t>movement</w:t>
      </w:r>
      <w:proofErr w:type="gramEnd"/>
      <w:r w:rsidRPr="0092423C">
        <w:rPr>
          <w:rFonts w:ascii="Arial" w:hAnsi="Arial" w:cs="Arial"/>
        </w:rPr>
        <w:t xml:space="preserve">  </w:t>
      </w:r>
    </w:p>
    <w:p w14:paraId="675DB8E1" w14:textId="77777777" w:rsidR="00AD44CB" w:rsidRPr="0092423C" w:rsidRDefault="00AD44CB" w:rsidP="00AD44CB">
      <w:pPr>
        <w:pStyle w:val="NoSpacing"/>
        <w:ind w:firstLine="720"/>
        <w:jc w:val="both"/>
        <w:rPr>
          <w:rFonts w:ascii="Arial" w:hAnsi="Arial" w:cs="Arial"/>
        </w:rPr>
      </w:pPr>
      <w:r w:rsidRPr="0092423C">
        <w:rPr>
          <w:rFonts w:ascii="Arial" w:hAnsi="Arial" w:cs="Arial"/>
          <w:b/>
        </w:rPr>
        <w:t>scheme</w:t>
      </w:r>
      <w:r w:rsidRPr="0092423C">
        <w:rPr>
          <w:rFonts w:ascii="Arial" w:hAnsi="Arial" w:cs="Arial"/>
          <w:b/>
        </w:rPr>
        <w:tab/>
      </w:r>
      <w:r w:rsidRPr="0092423C">
        <w:rPr>
          <w:rFonts w:ascii="Arial" w:hAnsi="Arial" w:cs="Arial"/>
          <w:b/>
        </w:rPr>
        <w:tab/>
      </w:r>
      <w:r w:rsidRPr="0092423C">
        <w:rPr>
          <w:rFonts w:ascii="Arial" w:hAnsi="Arial" w:cs="Arial"/>
        </w:rPr>
        <w:t xml:space="preserve"> </w:t>
      </w:r>
    </w:p>
    <w:p w14:paraId="118A7186" w14:textId="77777777" w:rsidR="00AD44CB" w:rsidRPr="0092423C" w:rsidRDefault="00AD44CB" w:rsidP="00AD44CB">
      <w:pPr>
        <w:pStyle w:val="NoSpacing"/>
        <w:ind w:firstLine="720"/>
        <w:jc w:val="both"/>
        <w:rPr>
          <w:rFonts w:ascii="Arial" w:hAnsi="Arial" w:cs="Arial"/>
        </w:rPr>
      </w:pPr>
      <w:r w:rsidRPr="0092423C">
        <w:rPr>
          <w:rFonts w:ascii="Arial" w:hAnsi="Arial" w:cs="Arial"/>
        </w:rPr>
        <w:t xml:space="preserve">  </w:t>
      </w:r>
    </w:p>
    <w:p w14:paraId="0731D6BC" w14:textId="2F1EEC66" w:rsidR="00AD44CB" w:rsidRPr="0092423C" w:rsidRDefault="00AD44CB" w:rsidP="00AD44CB">
      <w:pPr>
        <w:pStyle w:val="NoSpacing"/>
        <w:spacing w:after="200"/>
        <w:ind w:left="720" w:hanging="720"/>
        <w:jc w:val="both"/>
        <w:rPr>
          <w:rFonts w:ascii="Arial" w:hAnsi="Arial" w:cs="Arial"/>
        </w:rPr>
      </w:pPr>
      <w:r w:rsidRPr="0092423C">
        <w:rPr>
          <w:rFonts w:ascii="Arial" w:hAnsi="Arial" w:cs="Arial"/>
        </w:rPr>
        <w:t>3.4</w:t>
      </w:r>
      <w:r w:rsidRPr="0092423C">
        <w:rPr>
          <w:rFonts w:ascii="Arial" w:hAnsi="Arial" w:cs="Arial"/>
        </w:rPr>
        <w:tab/>
        <w:t xml:space="preserve">The following table shows the deferred members of each scheme as </w:t>
      </w:r>
      <w:proofErr w:type="gramStart"/>
      <w:r w:rsidRPr="0092423C">
        <w:rPr>
          <w:rFonts w:ascii="Arial" w:hAnsi="Arial" w:cs="Arial"/>
        </w:rPr>
        <w:t>at</w:t>
      </w:r>
      <w:proofErr w:type="gramEnd"/>
      <w:r w:rsidRPr="0092423C">
        <w:rPr>
          <w:rFonts w:ascii="Arial" w:hAnsi="Arial" w:cs="Arial"/>
        </w:rPr>
        <w:t xml:space="preserve"> 1</w:t>
      </w:r>
      <w:r w:rsidR="00A46F87" w:rsidRPr="0092423C">
        <w:rPr>
          <w:rFonts w:ascii="Arial" w:hAnsi="Arial" w:cs="Arial"/>
        </w:rPr>
        <w:t>5 February 2021</w:t>
      </w:r>
      <w:r w:rsidRPr="0092423C">
        <w:rPr>
          <w:rFonts w:ascii="Arial" w:hAnsi="Arial" w:cs="Arial"/>
        </w:rPr>
        <w:t>, compared to those as at 1</w:t>
      </w:r>
      <w:r w:rsidR="00A46F87" w:rsidRPr="0092423C">
        <w:rPr>
          <w:rFonts w:ascii="Arial" w:hAnsi="Arial" w:cs="Arial"/>
        </w:rPr>
        <w:t xml:space="preserve">2 November </w:t>
      </w:r>
      <w:r w:rsidRPr="0092423C">
        <w:rPr>
          <w:rFonts w:ascii="Arial" w:hAnsi="Arial" w:cs="Arial"/>
        </w:rPr>
        <w:t>2020.</w:t>
      </w:r>
    </w:p>
    <w:p w14:paraId="1E078E7D" w14:textId="77777777" w:rsidR="00AD44CB" w:rsidRPr="0092423C" w:rsidRDefault="00AD44CB" w:rsidP="00AD44CB">
      <w:pPr>
        <w:pStyle w:val="NoSpacing"/>
        <w:spacing w:after="200"/>
        <w:ind w:left="720" w:hanging="720"/>
        <w:jc w:val="both"/>
        <w:rPr>
          <w:rFonts w:ascii="Arial" w:hAnsi="Arial" w:cs="Arial"/>
        </w:rPr>
      </w:pPr>
      <w:r w:rsidRPr="0092423C">
        <w:rPr>
          <w:rFonts w:ascii="Arial" w:hAnsi="Arial" w:cs="Arial"/>
        </w:rPr>
        <w:t>3.4.1</w:t>
      </w:r>
    </w:p>
    <w:tbl>
      <w:tblPr>
        <w:tblStyle w:val="TableGrid"/>
        <w:tblW w:w="8223" w:type="dxa"/>
        <w:tblInd w:w="817" w:type="dxa"/>
        <w:tblLook w:val="04A0" w:firstRow="1" w:lastRow="0" w:firstColumn="1" w:lastColumn="0" w:noHBand="0" w:noVBand="1"/>
      </w:tblPr>
      <w:tblGrid>
        <w:gridCol w:w="5587"/>
        <w:gridCol w:w="1318"/>
        <w:gridCol w:w="1318"/>
      </w:tblGrid>
      <w:tr w:rsidR="00BA0E23" w:rsidRPr="0092423C" w14:paraId="189B2813" w14:textId="77777777" w:rsidTr="00BA0E23">
        <w:trPr>
          <w:trHeight w:val="327"/>
        </w:trPr>
        <w:tc>
          <w:tcPr>
            <w:tcW w:w="5587" w:type="dxa"/>
            <w:tcBorders>
              <w:top w:val="single" w:sz="4" w:space="0" w:color="auto"/>
              <w:left w:val="single" w:sz="4" w:space="0" w:color="auto"/>
              <w:bottom w:val="single" w:sz="4" w:space="0" w:color="auto"/>
              <w:right w:val="single" w:sz="4" w:space="0" w:color="auto"/>
            </w:tcBorders>
            <w:vAlign w:val="center"/>
            <w:hideMark/>
          </w:tcPr>
          <w:p w14:paraId="22F220FC" w14:textId="77777777" w:rsidR="00BA0E23" w:rsidRPr="0092423C" w:rsidRDefault="00BA0E23" w:rsidP="00BA0E23">
            <w:pPr>
              <w:pStyle w:val="NoSpacing"/>
              <w:spacing w:after="200"/>
              <w:rPr>
                <w:rFonts w:ascii="Arial" w:hAnsi="Arial" w:cs="Arial"/>
                <w:b/>
              </w:rPr>
            </w:pPr>
            <w:r w:rsidRPr="0092423C">
              <w:rPr>
                <w:rFonts w:ascii="Arial" w:hAnsi="Arial" w:cs="Arial"/>
                <w:b/>
              </w:rPr>
              <w:t>Firefighters’ Pensions Schemes Deferred Membership</w:t>
            </w:r>
          </w:p>
        </w:tc>
        <w:tc>
          <w:tcPr>
            <w:tcW w:w="1318" w:type="dxa"/>
            <w:tcBorders>
              <w:top w:val="single" w:sz="4" w:space="0" w:color="auto"/>
              <w:left w:val="single" w:sz="4" w:space="0" w:color="auto"/>
              <w:bottom w:val="single" w:sz="4" w:space="0" w:color="auto"/>
              <w:right w:val="single" w:sz="4" w:space="0" w:color="auto"/>
            </w:tcBorders>
            <w:hideMark/>
          </w:tcPr>
          <w:p w14:paraId="3DE839A4" w14:textId="77777777" w:rsidR="00BA0E23" w:rsidRPr="0092423C" w:rsidRDefault="00BA0E23" w:rsidP="00BA0E23">
            <w:pPr>
              <w:pStyle w:val="NoSpacing"/>
              <w:spacing w:after="200"/>
              <w:jc w:val="both"/>
              <w:rPr>
                <w:rFonts w:ascii="Arial" w:hAnsi="Arial" w:cs="Arial"/>
                <w:b/>
              </w:rPr>
            </w:pPr>
            <w:r w:rsidRPr="0092423C">
              <w:rPr>
                <w:rFonts w:ascii="Arial" w:hAnsi="Arial" w:cs="Arial"/>
                <w:b/>
              </w:rPr>
              <w:t>12/11/2020</w:t>
            </w:r>
          </w:p>
        </w:tc>
        <w:tc>
          <w:tcPr>
            <w:tcW w:w="1318" w:type="dxa"/>
            <w:tcBorders>
              <w:top w:val="single" w:sz="4" w:space="0" w:color="auto"/>
              <w:left w:val="single" w:sz="4" w:space="0" w:color="auto"/>
              <w:bottom w:val="single" w:sz="4" w:space="0" w:color="auto"/>
              <w:right w:val="single" w:sz="4" w:space="0" w:color="auto"/>
            </w:tcBorders>
          </w:tcPr>
          <w:p w14:paraId="3F553612" w14:textId="0082F6AE" w:rsidR="00BA0E23" w:rsidRPr="0092423C" w:rsidRDefault="00BA0E23" w:rsidP="00BA0E23">
            <w:pPr>
              <w:pStyle w:val="NoSpacing"/>
              <w:spacing w:after="200"/>
              <w:jc w:val="both"/>
              <w:rPr>
                <w:rFonts w:ascii="Arial" w:hAnsi="Arial" w:cs="Arial"/>
                <w:b/>
              </w:rPr>
            </w:pPr>
            <w:r w:rsidRPr="0092423C">
              <w:rPr>
                <w:rFonts w:ascii="Arial" w:hAnsi="Arial" w:cs="Arial"/>
                <w:b/>
              </w:rPr>
              <w:t>12/11/2020</w:t>
            </w:r>
          </w:p>
        </w:tc>
      </w:tr>
      <w:tr w:rsidR="00BA0E23" w:rsidRPr="0092423C" w14:paraId="27C2EF31" w14:textId="77777777" w:rsidTr="00BA0E23">
        <w:tc>
          <w:tcPr>
            <w:tcW w:w="5587" w:type="dxa"/>
            <w:tcBorders>
              <w:top w:val="single" w:sz="4" w:space="0" w:color="auto"/>
              <w:left w:val="single" w:sz="4" w:space="0" w:color="auto"/>
              <w:bottom w:val="single" w:sz="4" w:space="0" w:color="auto"/>
              <w:right w:val="single" w:sz="4" w:space="0" w:color="auto"/>
            </w:tcBorders>
            <w:vAlign w:val="center"/>
            <w:hideMark/>
          </w:tcPr>
          <w:p w14:paraId="135D1C66" w14:textId="77777777" w:rsidR="00BA0E23" w:rsidRPr="0092423C" w:rsidRDefault="00BA0E23" w:rsidP="00BA0E23">
            <w:pPr>
              <w:pStyle w:val="NoSpacing"/>
              <w:spacing w:after="200"/>
              <w:jc w:val="both"/>
              <w:rPr>
                <w:rFonts w:ascii="Arial" w:hAnsi="Arial" w:cs="Arial"/>
              </w:rPr>
            </w:pPr>
            <w:r w:rsidRPr="0092423C">
              <w:rPr>
                <w:rFonts w:ascii="Arial" w:hAnsi="Arial" w:cs="Arial"/>
              </w:rPr>
              <w:t xml:space="preserve">1992 </w:t>
            </w:r>
          </w:p>
        </w:tc>
        <w:tc>
          <w:tcPr>
            <w:tcW w:w="1318" w:type="dxa"/>
            <w:tcBorders>
              <w:top w:val="single" w:sz="4" w:space="0" w:color="auto"/>
              <w:left w:val="single" w:sz="4" w:space="0" w:color="auto"/>
              <w:bottom w:val="single" w:sz="4" w:space="0" w:color="auto"/>
              <w:right w:val="single" w:sz="4" w:space="0" w:color="auto"/>
            </w:tcBorders>
            <w:vAlign w:val="center"/>
            <w:hideMark/>
          </w:tcPr>
          <w:p w14:paraId="76173112" w14:textId="77777777" w:rsidR="00BA0E23" w:rsidRPr="0092423C" w:rsidRDefault="00BA0E23" w:rsidP="00BA0E23">
            <w:pPr>
              <w:pStyle w:val="NoSpacing"/>
              <w:spacing w:after="200"/>
              <w:jc w:val="both"/>
              <w:rPr>
                <w:rFonts w:ascii="Arial" w:hAnsi="Arial" w:cs="Arial"/>
              </w:rPr>
            </w:pPr>
            <w:r w:rsidRPr="0092423C">
              <w:rPr>
                <w:rFonts w:ascii="Arial" w:hAnsi="Arial" w:cs="Arial"/>
              </w:rPr>
              <w:t>28</w:t>
            </w:r>
          </w:p>
        </w:tc>
        <w:tc>
          <w:tcPr>
            <w:tcW w:w="1318" w:type="dxa"/>
            <w:tcBorders>
              <w:top w:val="single" w:sz="4" w:space="0" w:color="auto"/>
              <w:left w:val="single" w:sz="4" w:space="0" w:color="auto"/>
              <w:bottom w:val="single" w:sz="4" w:space="0" w:color="auto"/>
              <w:right w:val="single" w:sz="4" w:space="0" w:color="auto"/>
            </w:tcBorders>
            <w:vAlign w:val="center"/>
          </w:tcPr>
          <w:p w14:paraId="097E5789" w14:textId="3B3E1939" w:rsidR="00BA0E23" w:rsidRPr="0092423C" w:rsidRDefault="00BA0E23" w:rsidP="00BA0E23">
            <w:pPr>
              <w:pStyle w:val="NoSpacing"/>
              <w:spacing w:after="200"/>
              <w:jc w:val="both"/>
              <w:rPr>
                <w:rFonts w:ascii="Arial" w:hAnsi="Arial" w:cs="Arial"/>
              </w:rPr>
            </w:pPr>
            <w:r w:rsidRPr="0092423C">
              <w:rPr>
                <w:rFonts w:ascii="Arial" w:hAnsi="Arial" w:cs="Arial"/>
              </w:rPr>
              <w:t>28</w:t>
            </w:r>
          </w:p>
        </w:tc>
      </w:tr>
      <w:tr w:rsidR="00BA0E23" w:rsidRPr="0092423C" w14:paraId="463C1F14" w14:textId="77777777" w:rsidTr="00BA0E23">
        <w:tc>
          <w:tcPr>
            <w:tcW w:w="5587" w:type="dxa"/>
            <w:tcBorders>
              <w:top w:val="single" w:sz="4" w:space="0" w:color="auto"/>
              <w:left w:val="single" w:sz="4" w:space="0" w:color="auto"/>
              <w:bottom w:val="single" w:sz="4" w:space="0" w:color="auto"/>
              <w:right w:val="single" w:sz="4" w:space="0" w:color="auto"/>
            </w:tcBorders>
            <w:vAlign w:val="center"/>
            <w:hideMark/>
          </w:tcPr>
          <w:p w14:paraId="7C5EFD71" w14:textId="77777777" w:rsidR="00BA0E23" w:rsidRPr="0092423C" w:rsidRDefault="00BA0E23" w:rsidP="00BA0E23">
            <w:pPr>
              <w:pStyle w:val="NoSpacing"/>
              <w:spacing w:after="200"/>
              <w:jc w:val="both"/>
              <w:rPr>
                <w:rFonts w:ascii="Arial" w:hAnsi="Arial" w:cs="Arial"/>
              </w:rPr>
            </w:pPr>
            <w:r w:rsidRPr="0092423C">
              <w:rPr>
                <w:rFonts w:ascii="Arial" w:hAnsi="Arial" w:cs="Arial"/>
              </w:rPr>
              <w:t>2006</w:t>
            </w:r>
          </w:p>
        </w:tc>
        <w:tc>
          <w:tcPr>
            <w:tcW w:w="1318" w:type="dxa"/>
            <w:tcBorders>
              <w:top w:val="single" w:sz="4" w:space="0" w:color="auto"/>
              <w:left w:val="single" w:sz="4" w:space="0" w:color="auto"/>
              <w:bottom w:val="single" w:sz="4" w:space="0" w:color="auto"/>
              <w:right w:val="single" w:sz="4" w:space="0" w:color="auto"/>
            </w:tcBorders>
            <w:vAlign w:val="center"/>
            <w:hideMark/>
          </w:tcPr>
          <w:p w14:paraId="632DE5AA" w14:textId="77777777" w:rsidR="00BA0E23" w:rsidRPr="0092423C" w:rsidRDefault="00BA0E23" w:rsidP="00BA0E23">
            <w:pPr>
              <w:pStyle w:val="NoSpacing"/>
              <w:spacing w:after="200"/>
              <w:jc w:val="both"/>
              <w:rPr>
                <w:rFonts w:ascii="Arial" w:hAnsi="Arial" w:cs="Arial"/>
              </w:rPr>
            </w:pPr>
            <w:r w:rsidRPr="0092423C">
              <w:rPr>
                <w:rFonts w:ascii="Arial" w:hAnsi="Arial" w:cs="Arial"/>
              </w:rPr>
              <w:t>147</w:t>
            </w:r>
          </w:p>
        </w:tc>
        <w:tc>
          <w:tcPr>
            <w:tcW w:w="1318" w:type="dxa"/>
            <w:tcBorders>
              <w:top w:val="single" w:sz="4" w:space="0" w:color="auto"/>
              <w:left w:val="single" w:sz="4" w:space="0" w:color="auto"/>
              <w:bottom w:val="single" w:sz="4" w:space="0" w:color="auto"/>
              <w:right w:val="single" w:sz="4" w:space="0" w:color="auto"/>
            </w:tcBorders>
            <w:vAlign w:val="center"/>
          </w:tcPr>
          <w:p w14:paraId="6BDC5036" w14:textId="585A7965" w:rsidR="00BA0E23" w:rsidRPr="0092423C" w:rsidRDefault="00BA0E23" w:rsidP="00BA0E23">
            <w:pPr>
              <w:pStyle w:val="NoSpacing"/>
              <w:spacing w:after="200"/>
              <w:jc w:val="both"/>
              <w:rPr>
                <w:rFonts w:ascii="Arial" w:hAnsi="Arial" w:cs="Arial"/>
              </w:rPr>
            </w:pPr>
            <w:r w:rsidRPr="0092423C">
              <w:rPr>
                <w:rFonts w:ascii="Arial" w:hAnsi="Arial" w:cs="Arial"/>
              </w:rPr>
              <w:t>147</w:t>
            </w:r>
          </w:p>
        </w:tc>
      </w:tr>
      <w:tr w:rsidR="00BA0E23" w:rsidRPr="0092423C" w14:paraId="67AE7888" w14:textId="77777777" w:rsidTr="00BA0E23">
        <w:tc>
          <w:tcPr>
            <w:tcW w:w="5587" w:type="dxa"/>
            <w:tcBorders>
              <w:top w:val="single" w:sz="4" w:space="0" w:color="auto"/>
              <w:left w:val="single" w:sz="4" w:space="0" w:color="auto"/>
              <w:bottom w:val="single" w:sz="4" w:space="0" w:color="auto"/>
              <w:right w:val="single" w:sz="4" w:space="0" w:color="auto"/>
            </w:tcBorders>
            <w:vAlign w:val="center"/>
            <w:hideMark/>
          </w:tcPr>
          <w:p w14:paraId="0B812519" w14:textId="77777777" w:rsidR="00BA0E23" w:rsidRPr="0092423C" w:rsidRDefault="00BA0E23" w:rsidP="00BA0E23">
            <w:pPr>
              <w:pStyle w:val="NoSpacing"/>
              <w:spacing w:after="200"/>
              <w:jc w:val="both"/>
              <w:rPr>
                <w:rFonts w:ascii="Arial" w:hAnsi="Arial" w:cs="Arial"/>
              </w:rPr>
            </w:pPr>
            <w:r w:rsidRPr="0092423C">
              <w:rPr>
                <w:rFonts w:ascii="Arial" w:hAnsi="Arial" w:cs="Arial"/>
              </w:rPr>
              <w:t>RDS Modified</w:t>
            </w:r>
          </w:p>
        </w:tc>
        <w:tc>
          <w:tcPr>
            <w:tcW w:w="1318" w:type="dxa"/>
            <w:tcBorders>
              <w:top w:val="single" w:sz="4" w:space="0" w:color="auto"/>
              <w:left w:val="single" w:sz="4" w:space="0" w:color="auto"/>
              <w:bottom w:val="single" w:sz="4" w:space="0" w:color="auto"/>
              <w:right w:val="single" w:sz="4" w:space="0" w:color="auto"/>
            </w:tcBorders>
            <w:vAlign w:val="center"/>
            <w:hideMark/>
          </w:tcPr>
          <w:p w14:paraId="7478F9F5" w14:textId="77777777" w:rsidR="00BA0E23" w:rsidRPr="0092423C" w:rsidRDefault="00BA0E23" w:rsidP="00BA0E23">
            <w:pPr>
              <w:pStyle w:val="NoSpacing"/>
              <w:spacing w:after="200"/>
              <w:jc w:val="both"/>
              <w:rPr>
                <w:rFonts w:ascii="Arial" w:hAnsi="Arial" w:cs="Arial"/>
              </w:rPr>
            </w:pPr>
            <w:r w:rsidRPr="0092423C">
              <w:rPr>
                <w:rFonts w:ascii="Arial" w:hAnsi="Arial" w:cs="Arial"/>
              </w:rPr>
              <w:t>27</w:t>
            </w:r>
          </w:p>
        </w:tc>
        <w:tc>
          <w:tcPr>
            <w:tcW w:w="1318" w:type="dxa"/>
            <w:tcBorders>
              <w:top w:val="single" w:sz="4" w:space="0" w:color="auto"/>
              <w:left w:val="single" w:sz="4" w:space="0" w:color="auto"/>
              <w:bottom w:val="single" w:sz="4" w:space="0" w:color="auto"/>
              <w:right w:val="single" w:sz="4" w:space="0" w:color="auto"/>
            </w:tcBorders>
            <w:vAlign w:val="center"/>
          </w:tcPr>
          <w:p w14:paraId="24A31043" w14:textId="21F00D42" w:rsidR="00BA0E23" w:rsidRPr="0092423C" w:rsidRDefault="00BA0E23" w:rsidP="00BA0E23">
            <w:pPr>
              <w:pStyle w:val="NoSpacing"/>
              <w:spacing w:after="200"/>
              <w:jc w:val="both"/>
              <w:rPr>
                <w:rFonts w:ascii="Arial" w:hAnsi="Arial" w:cs="Arial"/>
              </w:rPr>
            </w:pPr>
            <w:r w:rsidRPr="0092423C">
              <w:rPr>
                <w:rFonts w:ascii="Arial" w:hAnsi="Arial" w:cs="Arial"/>
              </w:rPr>
              <w:t>27</w:t>
            </w:r>
          </w:p>
        </w:tc>
      </w:tr>
      <w:tr w:rsidR="00BA0E23" w:rsidRPr="0092423C" w14:paraId="39ADB6C3" w14:textId="77777777" w:rsidTr="00BA0E23">
        <w:tc>
          <w:tcPr>
            <w:tcW w:w="5587" w:type="dxa"/>
            <w:tcBorders>
              <w:top w:val="single" w:sz="4" w:space="0" w:color="auto"/>
              <w:left w:val="single" w:sz="4" w:space="0" w:color="auto"/>
              <w:bottom w:val="single" w:sz="4" w:space="0" w:color="auto"/>
              <w:right w:val="single" w:sz="4" w:space="0" w:color="auto"/>
            </w:tcBorders>
            <w:vAlign w:val="center"/>
            <w:hideMark/>
          </w:tcPr>
          <w:p w14:paraId="2B52F1E4" w14:textId="77777777" w:rsidR="00BA0E23" w:rsidRPr="0092423C" w:rsidRDefault="00BA0E23" w:rsidP="00BA0E23">
            <w:pPr>
              <w:pStyle w:val="NoSpacing"/>
              <w:spacing w:after="200"/>
              <w:jc w:val="both"/>
              <w:rPr>
                <w:rFonts w:ascii="Arial" w:hAnsi="Arial" w:cs="Arial"/>
              </w:rPr>
            </w:pPr>
            <w:r w:rsidRPr="0092423C">
              <w:rPr>
                <w:rFonts w:ascii="Arial" w:hAnsi="Arial" w:cs="Arial"/>
              </w:rPr>
              <w:t>2015</w:t>
            </w:r>
          </w:p>
        </w:tc>
        <w:tc>
          <w:tcPr>
            <w:tcW w:w="1318" w:type="dxa"/>
            <w:tcBorders>
              <w:top w:val="single" w:sz="4" w:space="0" w:color="auto"/>
              <w:left w:val="single" w:sz="4" w:space="0" w:color="auto"/>
              <w:bottom w:val="single" w:sz="4" w:space="0" w:color="auto"/>
              <w:right w:val="single" w:sz="4" w:space="0" w:color="auto"/>
            </w:tcBorders>
            <w:vAlign w:val="center"/>
            <w:hideMark/>
          </w:tcPr>
          <w:p w14:paraId="281694AB" w14:textId="35FA2BAE" w:rsidR="00BA0E23" w:rsidRPr="0092423C" w:rsidRDefault="00BA0E23" w:rsidP="00BA0E23">
            <w:pPr>
              <w:pStyle w:val="NoSpacing"/>
              <w:spacing w:after="200"/>
              <w:jc w:val="both"/>
              <w:rPr>
                <w:rFonts w:ascii="Arial" w:hAnsi="Arial" w:cs="Arial"/>
              </w:rPr>
            </w:pPr>
            <w:r w:rsidRPr="0092423C">
              <w:rPr>
                <w:rFonts w:ascii="Arial" w:hAnsi="Arial" w:cs="Arial"/>
              </w:rPr>
              <w:t>19</w:t>
            </w:r>
            <w:r w:rsidR="00CC09EE" w:rsidRPr="0092423C">
              <w:rPr>
                <w:rFonts w:ascii="Arial" w:hAnsi="Arial" w:cs="Arial"/>
              </w:rPr>
              <w:t>8</w:t>
            </w:r>
          </w:p>
        </w:tc>
        <w:tc>
          <w:tcPr>
            <w:tcW w:w="1318" w:type="dxa"/>
            <w:tcBorders>
              <w:top w:val="single" w:sz="4" w:space="0" w:color="auto"/>
              <w:left w:val="single" w:sz="4" w:space="0" w:color="auto"/>
              <w:bottom w:val="single" w:sz="4" w:space="0" w:color="auto"/>
              <w:right w:val="single" w:sz="4" w:space="0" w:color="auto"/>
            </w:tcBorders>
            <w:vAlign w:val="center"/>
          </w:tcPr>
          <w:p w14:paraId="01350189" w14:textId="1139503B" w:rsidR="00BA0E23" w:rsidRPr="0092423C" w:rsidRDefault="00BA0E23" w:rsidP="00BA0E23">
            <w:pPr>
              <w:pStyle w:val="NoSpacing"/>
              <w:spacing w:after="200"/>
              <w:jc w:val="both"/>
              <w:rPr>
                <w:rFonts w:ascii="Arial" w:hAnsi="Arial" w:cs="Arial"/>
              </w:rPr>
            </w:pPr>
            <w:r w:rsidRPr="0092423C">
              <w:rPr>
                <w:rFonts w:ascii="Arial" w:hAnsi="Arial" w:cs="Arial"/>
              </w:rPr>
              <w:t>194</w:t>
            </w:r>
          </w:p>
        </w:tc>
      </w:tr>
    </w:tbl>
    <w:p w14:paraId="5849340D" w14:textId="77777777" w:rsidR="00AD44CB" w:rsidRPr="0092423C" w:rsidRDefault="00AD44CB" w:rsidP="00AD44CB">
      <w:pPr>
        <w:pStyle w:val="NoSpacing"/>
        <w:spacing w:after="200"/>
        <w:jc w:val="both"/>
        <w:rPr>
          <w:rFonts w:ascii="Arial" w:hAnsi="Arial" w:cs="Arial"/>
        </w:rPr>
      </w:pPr>
      <w:r w:rsidRPr="0092423C">
        <w:rPr>
          <w:rFonts w:ascii="Arial" w:hAnsi="Arial" w:cs="Arial"/>
        </w:rPr>
        <w:tab/>
      </w:r>
    </w:p>
    <w:p w14:paraId="0B5EAF11" w14:textId="77777777" w:rsidR="00AD44CB" w:rsidRPr="0092423C" w:rsidRDefault="00AD44CB" w:rsidP="00AD44CB">
      <w:pPr>
        <w:pStyle w:val="NoSpacing"/>
        <w:ind w:left="720" w:hanging="720"/>
        <w:jc w:val="both"/>
        <w:rPr>
          <w:rFonts w:ascii="Arial" w:hAnsi="Arial" w:cs="Arial"/>
        </w:rPr>
      </w:pPr>
      <w:r w:rsidRPr="0092423C">
        <w:rPr>
          <w:rFonts w:ascii="Arial" w:hAnsi="Arial" w:cs="Arial"/>
        </w:rPr>
        <w:t>3.4.2</w:t>
      </w:r>
      <w:r w:rsidRPr="0092423C">
        <w:rPr>
          <w:rFonts w:ascii="Arial" w:hAnsi="Arial" w:cs="Arial"/>
        </w:rPr>
        <w:tab/>
        <w:t xml:space="preserve">The variations in deferred pension members cover pensions that have come into payment, leavers and those who have opted out of the scheme (who </w:t>
      </w:r>
      <w:proofErr w:type="gramStart"/>
      <w:r w:rsidRPr="0092423C">
        <w:rPr>
          <w:rFonts w:ascii="Arial" w:hAnsi="Arial" w:cs="Arial"/>
        </w:rPr>
        <w:t>don’t</w:t>
      </w:r>
      <w:proofErr w:type="gramEnd"/>
      <w:r w:rsidRPr="0092423C">
        <w:rPr>
          <w:rFonts w:ascii="Arial" w:hAnsi="Arial" w:cs="Arial"/>
        </w:rPr>
        <w:t xml:space="preserve"> qualify for a refund of their contributions).</w:t>
      </w:r>
    </w:p>
    <w:p w14:paraId="4A6ED892" w14:textId="77777777" w:rsidR="00AD44CB" w:rsidRPr="0092423C" w:rsidRDefault="00AD44CB" w:rsidP="00AD44CB">
      <w:pPr>
        <w:pStyle w:val="NoSpacing"/>
        <w:jc w:val="both"/>
        <w:rPr>
          <w:rFonts w:ascii="Arial" w:hAnsi="Arial" w:cs="Arial"/>
        </w:rPr>
      </w:pPr>
    </w:p>
    <w:p w14:paraId="19773820" w14:textId="77777777" w:rsidR="00AD44CB" w:rsidRPr="0092423C" w:rsidRDefault="00AD44CB" w:rsidP="00AD44CB">
      <w:pPr>
        <w:pStyle w:val="NoSpacing"/>
        <w:ind w:left="720" w:hanging="720"/>
        <w:jc w:val="both"/>
        <w:rPr>
          <w:rFonts w:ascii="Arial" w:hAnsi="Arial" w:cs="Arial"/>
        </w:rPr>
      </w:pPr>
    </w:p>
    <w:p w14:paraId="0DB0EA5C" w14:textId="77777777" w:rsidR="00AD44CB" w:rsidRPr="0092423C" w:rsidRDefault="00AD44CB" w:rsidP="00AD44CB">
      <w:pPr>
        <w:pStyle w:val="NoSpacing"/>
        <w:jc w:val="both"/>
        <w:rPr>
          <w:rFonts w:ascii="Arial" w:hAnsi="Arial" w:cs="Arial"/>
          <w:b/>
          <w:u w:val="single"/>
        </w:rPr>
      </w:pPr>
      <w:r w:rsidRPr="0092423C">
        <w:rPr>
          <w:rFonts w:ascii="Arial" w:hAnsi="Arial" w:cs="Arial"/>
          <w:b/>
        </w:rPr>
        <w:t>4.0</w:t>
      </w:r>
      <w:r w:rsidRPr="0092423C">
        <w:rPr>
          <w:rFonts w:ascii="Arial" w:hAnsi="Arial" w:cs="Arial"/>
          <w:b/>
        </w:rPr>
        <w:tab/>
      </w:r>
      <w:r w:rsidRPr="0092423C">
        <w:rPr>
          <w:rFonts w:ascii="Arial" w:hAnsi="Arial" w:cs="Arial"/>
          <w:b/>
          <w:u w:val="single"/>
        </w:rPr>
        <w:t>Internal Dispute Resolution Procedure (IDRP)</w:t>
      </w:r>
    </w:p>
    <w:p w14:paraId="571B90E1" w14:textId="77777777" w:rsidR="00AD44CB" w:rsidRPr="0092423C" w:rsidRDefault="00AD44CB" w:rsidP="00AD44CB">
      <w:pPr>
        <w:pStyle w:val="NoSpacing"/>
        <w:jc w:val="both"/>
        <w:rPr>
          <w:rFonts w:ascii="Arial" w:hAnsi="Arial" w:cs="Arial"/>
        </w:rPr>
      </w:pPr>
    </w:p>
    <w:p w14:paraId="5791F030" w14:textId="77777777" w:rsidR="00AD44CB" w:rsidRPr="0092423C" w:rsidRDefault="00AD44CB" w:rsidP="00AD44CB">
      <w:pPr>
        <w:pStyle w:val="NoSpacing"/>
        <w:spacing w:after="200"/>
        <w:ind w:left="720" w:hanging="720"/>
        <w:jc w:val="both"/>
        <w:rPr>
          <w:rFonts w:ascii="Arial" w:hAnsi="Arial" w:cs="Arial"/>
        </w:rPr>
      </w:pPr>
      <w:r w:rsidRPr="0092423C">
        <w:rPr>
          <w:rFonts w:ascii="Arial" w:hAnsi="Arial" w:cs="Arial"/>
        </w:rPr>
        <w:t>4.1</w:t>
      </w:r>
      <w:r w:rsidRPr="0092423C">
        <w:rPr>
          <w:rFonts w:ascii="Arial" w:hAnsi="Arial" w:cs="Arial"/>
        </w:rPr>
        <w:tab/>
        <w:t xml:space="preserve">There is an Internal Dispute Resolution Procedure for dealing with any complaints. Initial information on this two-stage process can be found at: </w:t>
      </w:r>
    </w:p>
    <w:p w14:paraId="14B84339" w14:textId="77777777" w:rsidR="00AD44CB" w:rsidRPr="0092423C" w:rsidRDefault="00D14408" w:rsidP="00AD44CB">
      <w:pPr>
        <w:pStyle w:val="NoSpacing"/>
        <w:spacing w:after="200"/>
        <w:ind w:left="720"/>
        <w:jc w:val="both"/>
        <w:rPr>
          <w:rFonts w:ascii="Arial" w:hAnsi="Arial" w:cs="Arial"/>
        </w:rPr>
      </w:pPr>
      <w:hyperlink r:id="rId11" w:history="1">
        <w:r w:rsidR="00AD44CB" w:rsidRPr="0092423C">
          <w:rPr>
            <w:rStyle w:val="Hyperlink"/>
            <w:rFonts w:ascii="Arial" w:hAnsi="Arial" w:cs="Arial"/>
          </w:rPr>
          <w:t>http://www.wypf.org.uk/Member/Fire/IDRP/InternalDisputeResolutionPro.aspx</w:t>
        </w:r>
      </w:hyperlink>
      <w:r w:rsidR="00AD44CB" w:rsidRPr="0092423C">
        <w:rPr>
          <w:rFonts w:ascii="Arial" w:hAnsi="Arial" w:cs="Arial"/>
        </w:rPr>
        <w:t xml:space="preserve"> </w:t>
      </w:r>
    </w:p>
    <w:p w14:paraId="7BF796C1" w14:textId="77777777" w:rsidR="00AD44CB" w:rsidRPr="0092423C" w:rsidRDefault="00AD44CB" w:rsidP="00AD44CB">
      <w:pPr>
        <w:pStyle w:val="NoSpacing"/>
        <w:spacing w:after="200"/>
        <w:ind w:left="720"/>
        <w:jc w:val="both"/>
        <w:rPr>
          <w:rFonts w:ascii="Arial" w:hAnsi="Arial" w:cs="Arial"/>
        </w:rPr>
      </w:pPr>
      <w:r w:rsidRPr="0092423C">
        <w:rPr>
          <w:rFonts w:ascii="Arial" w:hAnsi="Arial" w:cs="Arial"/>
        </w:rPr>
        <w:t>There have been no new IDRP applications since previous meeting.</w:t>
      </w:r>
    </w:p>
    <w:p w14:paraId="645F5B07" w14:textId="77777777" w:rsidR="00AD44CB" w:rsidRPr="0092423C" w:rsidRDefault="00AD44CB" w:rsidP="00AD44CB">
      <w:pPr>
        <w:pStyle w:val="NoSpacing"/>
        <w:ind w:left="720"/>
        <w:jc w:val="both"/>
        <w:rPr>
          <w:rFonts w:ascii="Arial" w:hAnsi="Arial" w:cs="Arial"/>
        </w:rPr>
      </w:pPr>
    </w:p>
    <w:p w14:paraId="3934118E" w14:textId="77777777" w:rsidR="00AD44CB" w:rsidRPr="0092423C" w:rsidRDefault="00AD44CB" w:rsidP="00AD44CB">
      <w:pPr>
        <w:pStyle w:val="NoSpacing"/>
        <w:ind w:left="720" w:hanging="720"/>
        <w:jc w:val="both"/>
        <w:rPr>
          <w:rFonts w:ascii="Arial" w:hAnsi="Arial" w:cs="Arial"/>
          <w:b/>
          <w:u w:val="single"/>
        </w:rPr>
      </w:pPr>
      <w:r w:rsidRPr="0092423C">
        <w:rPr>
          <w:rFonts w:ascii="Arial" w:hAnsi="Arial" w:cs="Arial"/>
          <w:b/>
        </w:rPr>
        <w:t>5.0</w:t>
      </w:r>
      <w:r w:rsidRPr="0092423C">
        <w:rPr>
          <w:rFonts w:ascii="Arial" w:hAnsi="Arial" w:cs="Arial"/>
          <w:b/>
        </w:rPr>
        <w:tab/>
      </w:r>
      <w:r w:rsidRPr="0092423C">
        <w:rPr>
          <w:rFonts w:ascii="Arial" w:hAnsi="Arial" w:cs="Arial"/>
          <w:b/>
          <w:u w:val="single"/>
        </w:rPr>
        <w:t>Pension Board Training Update</w:t>
      </w:r>
    </w:p>
    <w:p w14:paraId="1D9251A6" w14:textId="77777777" w:rsidR="00AD44CB" w:rsidRPr="0092423C" w:rsidRDefault="00AD44CB" w:rsidP="00AD44CB">
      <w:pPr>
        <w:pStyle w:val="NoSpacing"/>
        <w:ind w:left="720" w:hanging="720"/>
        <w:jc w:val="both"/>
        <w:rPr>
          <w:rFonts w:ascii="Arial" w:hAnsi="Arial" w:cs="Arial"/>
        </w:rPr>
      </w:pPr>
    </w:p>
    <w:p w14:paraId="115317B6" w14:textId="2C22997C" w:rsidR="00AD44CB" w:rsidRPr="0092423C" w:rsidRDefault="00E4414C" w:rsidP="00AD44CB">
      <w:pPr>
        <w:pStyle w:val="NoSpacing"/>
        <w:spacing w:after="200"/>
        <w:ind w:left="720" w:hanging="720"/>
        <w:jc w:val="both"/>
        <w:rPr>
          <w:rFonts w:ascii="Arial" w:hAnsi="Arial" w:cs="Arial"/>
        </w:rPr>
      </w:pPr>
      <w:r w:rsidRPr="0092423C">
        <w:rPr>
          <w:rStyle w:val="normaltextrun"/>
          <w:rFonts w:ascii="Arial" w:hAnsi="Arial" w:cs="Arial"/>
          <w:color w:val="000000"/>
          <w:shd w:val="clear" w:color="auto" w:fill="FFFFFF"/>
        </w:rPr>
        <w:t>5.1</w:t>
      </w:r>
      <w:r w:rsidRPr="0092423C">
        <w:rPr>
          <w:rStyle w:val="normaltextrun"/>
          <w:rFonts w:ascii="Arial" w:hAnsi="Arial" w:cs="Arial"/>
          <w:color w:val="000000"/>
          <w:shd w:val="clear" w:color="auto" w:fill="FFFFFF"/>
        </w:rPr>
        <w:tab/>
      </w:r>
      <w:r w:rsidR="00387193" w:rsidRPr="0092423C">
        <w:rPr>
          <w:rStyle w:val="normaltextrun"/>
          <w:rFonts w:ascii="Arial" w:hAnsi="Arial" w:cs="Arial"/>
          <w:color w:val="000000"/>
          <w:shd w:val="clear" w:color="auto" w:fill="FFFFFF"/>
        </w:rPr>
        <w:t xml:space="preserve">Overview of each of the Firefighters’ Pension Schemes (to be delivered by WYPF) – </w:t>
      </w:r>
      <w:r w:rsidRPr="0092423C">
        <w:rPr>
          <w:rStyle w:val="normaltextrun"/>
          <w:rFonts w:ascii="Arial" w:hAnsi="Arial" w:cs="Arial"/>
          <w:color w:val="000000"/>
          <w:shd w:val="clear" w:color="auto" w:fill="FFFFFF"/>
        </w:rPr>
        <w:t xml:space="preserve">at this 3 March 2021 </w:t>
      </w:r>
      <w:r w:rsidR="00387193" w:rsidRPr="0092423C">
        <w:rPr>
          <w:rStyle w:val="normaltextrun"/>
          <w:rFonts w:ascii="Arial" w:hAnsi="Arial" w:cs="Arial"/>
          <w:color w:val="000000"/>
          <w:shd w:val="clear" w:color="auto" w:fill="FFFFFF"/>
        </w:rPr>
        <w:t>Board meeting.</w:t>
      </w:r>
      <w:r w:rsidR="00AD44CB" w:rsidRPr="0092423C">
        <w:rPr>
          <w:rFonts w:ascii="Arial" w:hAnsi="Arial" w:cs="Arial"/>
        </w:rPr>
        <w:t xml:space="preserve">  </w:t>
      </w:r>
    </w:p>
    <w:p w14:paraId="3BC162C1" w14:textId="77777777" w:rsidR="00AD44CB" w:rsidRPr="0092423C" w:rsidRDefault="00AD44CB" w:rsidP="00AD44CB">
      <w:pPr>
        <w:autoSpaceDE w:val="0"/>
        <w:autoSpaceDN w:val="0"/>
        <w:adjustRightInd w:val="0"/>
        <w:spacing w:after="0" w:line="240" w:lineRule="auto"/>
        <w:jc w:val="both"/>
        <w:rPr>
          <w:rFonts w:ascii="Arial" w:hAnsi="Arial" w:cs="Arial"/>
        </w:rPr>
      </w:pPr>
    </w:p>
    <w:p w14:paraId="04F66474" w14:textId="77777777" w:rsidR="00AD44CB" w:rsidRPr="0092423C" w:rsidRDefault="00AD44CB" w:rsidP="00AD44CB">
      <w:pPr>
        <w:autoSpaceDE w:val="0"/>
        <w:autoSpaceDN w:val="0"/>
        <w:adjustRightInd w:val="0"/>
        <w:spacing w:after="0" w:line="240" w:lineRule="auto"/>
        <w:jc w:val="both"/>
        <w:rPr>
          <w:rFonts w:ascii="Arial" w:hAnsi="Arial" w:cs="Arial"/>
        </w:rPr>
      </w:pPr>
    </w:p>
    <w:p w14:paraId="7B785D8D" w14:textId="77777777" w:rsidR="00AD44CB" w:rsidRPr="0092423C" w:rsidRDefault="00AD44CB" w:rsidP="00AD44CB">
      <w:pPr>
        <w:autoSpaceDE w:val="0"/>
        <w:autoSpaceDN w:val="0"/>
        <w:adjustRightInd w:val="0"/>
        <w:spacing w:after="0" w:line="240" w:lineRule="auto"/>
        <w:jc w:val="both"/>
        <w:rPr>
          <w:rFonts w:ascii="Arial" w:hAnsi="Arial" w:cs="Arial"/>
        </w:rPr>
      </w:pPr>
    </w:p>
    <w:p w14:paraId="53A9D8E4" w14:textId="77777777" w:rsidR="00AD44CB" w:rsidRPr="0092423C" w:rsidRDefault="00AD44CB" w:rsidP="00AD44CB">
      <w:pPr>
        <w:autoSpaceDE w:val="0"/>
        <w:autoSpaceDN w:val="0"/>
        <w:adjustRightInd w:val="0"/>
        <w:spacing w:after="0" w:line="240" w:lineRule="auto"/>
        <w:jc w:val="both"/>
        <w:rPr>
          <w:rFonts w:ascii="Arial" w:hAnsi="Arial" w:cs="Arial"/>
        </w:rPr>
      </w:pPr>
    </w:p>
    <w:p w14:paraId="35F2879C" w14:textId="77777777" w:rsidR="00AD44CB" w:rsidRPr="0092423C" w:rsidRDefault="00AD44CB" w:rsidP="00AD44CB">
      <w:pPr>
        <w:pStyle w:val="ListParagraph"/>
        <w:numPr>
          <w:ilvl w:val="0"/>
          <w:numId w:val="41"/>
        </w:numPr>
        <w:autoSpaceDE w:val="0"/>
        <w:autoSpaceDN w:val="0"/>
        <w:adjustRightInd w:val="0"/>
        <w:spacing w:after="0" w:line="240" w:lineRule="auto"/>
        <w:ind w:left="709" w:hanging="709"/>
        <w:jc w:val="both"/>
        <w:rPr>
          <w:rFonts w:ascii="Arial" w:hAnsi="Arial" w:cs="Arial"/>
          <w:b/>
        </w:rPr>
      </w:pPr>
      <w:r w:rsidRPr="0092423C">
        <w:rPr>
          <w:rFonts w:ascii="Arial" w:hAnsi="Arial" w:cs="Arial"/>
          <w:b/>
          <w:u w:val="single"/>
        </w:rPr>
        <w:t>Other Work Items</w:t>
      </w:r>
    </w:p>
    <w:p w14:paraId="34492AEA" w14:textId="77777777" w:rsidR="00AD44CB" w:rsidRPr="0092423C" w:rsidRDefault="00AD44CB" w:rsidP="00AD44CB">
      <w:pPr>
        <w:autoSpaceDE w:val="0"/>
        <w:autoSpaceDN w:val="0"/>
        <w:adjustRightInd w:val="0"/>
        <w:spacing w:after="0" w:line="240" w:lineRule="auto"/>
        <w:jc w:val="both"/>
        <w:rPr>
          <w:rFonts w:ascii="Arial" w:hAnsi="Arial" w:cs="Arial"/>
        </w:rPr>
      </w:pPr>
    </w:p>
    <w:p w14:paraId="7600122B" w14:textId="2AC886C7" w:rsidR="00AD44CB" w:rsidRPr="0092423C" w:rsidRDefault="00AD44CB" w:rsidP="00AD44CB">
      <w:pPr>
        <w:pStyle w:val="ListParagraph"/>
        <w:numPr>
          <w:ilvl w:val="1"/>
          <w:numId w:val="41"/>
        </w:numPr>
        <w:autoSpaceDE w:val="0"/>
        <w:autoSpaceDN w:val="0"/>
        <w:adjustRightInd w:val="0"/>
        <w:spacing w:line="240" w:lineRule="auto"/>
        <w:ind w:left="709" w:hanging="709"/>
        <w:jc w:val="both"/>
        <w:rPr>
          <w:rFonts w:ascii="Arial" w:hAnsi="Arial" w:cs="Arial"/>
        </w:rPr>
      </w:pPr>
      <w:r w:rsidRPr="0092423C">
        <w:rPr>
          <w:rFonts w:ascii="Arial" w:hAnsi="Arial" w:cs="Arial"/>
        </w:rPr>
        <w:t xml:space="preserve">Monthly postings up to and including </w:t>
      </w:r>
      <w:r w:rsidR="002E40A0" w:rsidRPr="0092423C">
        <w:rPr>
          <w:rFonts w:ascii="Arial" w:hAnsi="Arial" w:cs="Arial"/>
        </w:rPr>
        <w:t>January 2021</w:t>
      </w:r>
      <w:r w:rsidRPr="0092423C">
        <w:rPr>
          <w:rFonts w:ascii="Arial" w:hAnsi="Arial" w:cs="Arial"/>
        </w:rPr>
        <w:t xml:space="preserve"> have been submitted to West Yorkshire Pension Fund (WYPF).  </w:t>
      </w:r>
    </w:p>
    <w:p w14:paraId="7BC6008A" w14:textId="77777777" w:rsidR="00AD44CB" w:rsidRPr="0092423C" w:rsidRDefault="00AD44CB" w:rsidP="00AD44CB">
      <w:pPr>
        <w:pStyle w:val="ListParagraph"/>
        <w:autoSpaceDE w:val="0"/>
        <w:autoSpaceDN w:val="0"/>
        <w:adjustRightInd w:val="0"/>
        <w:spacing w:line="240" w:lineRule="auto"/>
        <w:ind w:left="709"/>
        <w:jc w:val="both"/>
        <w:rPr>
          <w:rFonts w:ascii="Arial" w:hAnsi="Arial" w:cs="Arial"/>
        </w:rPr>
      </w:pPr>
    </w:p>
    <w:p w14:paraId="760FB753" w14:textId="182048F3" w:rsidR="00AD44CB" w:rsidRPr="0092423C" w:rsidRDefault="00AD44CB" w:rsidP="00AD44CB">
      <w:pPr>
        <w:pStyle w:val="ListParagraph"/>
        <w:numPr>
          <w:ilvl w:val="1"/>
          <w:numId w:val="41"/>
        </w:numPr>
        <w:autoSpaceDE w:val="0"/>
        <w:autoSpaceDN w:val="0"/>
        <w:adjustRightInd w:val="0"/>
        <w:spacing w:line="240" w:lineRule="auto"/>
        <w:ind w:left="709" w:hanging="709"/>
        <w:jc w:val="both"/>
        <w:rPr>
          <w:rFonts w:ascii="Arial" w:hAnsi="Arial" w:cs="Arial"/>
        </w:rPr>
      </w:pPr>
      <w:r w:rsidRPr="0092423C">
        <w:rPr>
          <w:rFonts w:ascii="Arial" w:hAnsi="Arial" w:cs="Arial"/>
        </w:rPr>
        <w:t xml:space="preserve">Following confirmation of 2020s national pay award (and local CPD increase), the post-1 July 2020 retirements that were processed using 2019s pay rates, </w:t>
      </w:r>
      <w:r w:rsidR="006F6044" w:rsidRPr="0092423C">
        <w:rPr>
          <w:rFonts w:ascii="Arial" w:hAnsi="Arial" w:cs="Arial"/>
        </w:rPr>
        <w:t xml:space="preserve">were recalculated with the revised </w:t>
      </w:r>
      <w:r w:rsidR="0083696E" w:rsidRPr="0092423C">
        <w:rPr>
          <w:rFonts w:ascii="Arial" w:hAnsi="Arial" w:cs="Arial"/>
        </w:rPr>
        <w:t>2020</w:t>
      </w:r>
      <w:r w:rsidR="0018393E" w:rsidRPr="0092423C">
        <w:rPr>
          <w:rFonts w:ascii="Arial" w:hAnsi="Arial" w:cs="Arial"/>
        </w:rPr>
        <w:t xml:space="preserve"> pay </w:t>
      </w:r>
      <w:r w:rsidRPr="0092423C">
        <w:rPr>
          <w:rFonts w:ascii="Arial" w:hAnsi="Arial" w:cs="Arial"/>
        </w:rPr>
        <w:t>rate</w:t>
      </w:r>
      <w:r w:rsidR="0018393E" w:rsidRPr="0092423C">
        <w:rPr>
          <w:rFonts w:ascii="Arial" w:hAnsi="Arial" w:cs="Arial"/>
        </w:rPr>
        <w:t xml:space="preserve"> plus</w:t>
      </w:r>
      <w:r w:rsidR="0083696E" w:rsidRPr="0092423C">
        <w:rPr>
          <w:rFonts w:ascii="Arial" w:hAnsi="Arial" w:cs="Arial"/>
        </w:rPr>
        <w:t xml:space="preserve"> </w:t>
      </w:r>
      <w:r w:rsidRPr="0092423C">
        <w:rPr>
          <w:rFonts w:ascii="Arial" w:hAnsi="Arial" w:cs="Arial"/>
        </w:rPr>
        <w:t>CPD contribution amounts and</w:t>
      </w:r>
      <w:r w:rsidR="0018393E" w:rsidRPr="0092423C">
        <w:rPr>
          <w:rFonts w:ascii="Arial" w:hAnsi="Arial" w:cs="Arial"/>
        </w:rPr>
        <w:t>/or</w:t>
      </w:r>
      <w:r w:rsidRPr="0092423C">
        <w:rPr>
          <w:rFonts w:ascii="Arial" w:hAnsi="Arial" w:cs="Arial"/>
        </w:rPr>
        <w:t xml:space="preserve"> pensionable public holiday payments (where applicable)</w:t>
      </w:r>
      <w:r w:rsidR="0018393E" w:rsidRPr="0092423C">
        <w:rPr>
          <w:rFonts w:ascii="Arial" w:hAnsi="Arial" w:cs="Arial"/>
        </w:rPr>
        <w:t xml:space="preserve"> </w:t>
      </w:r>
      <w:r w:rsidRPr="0092423C">
        <w:rPr>
          <w:rFonts w:ascii="Arial" w:hAnsi="Arial" w:cs="Arial"/>
        </w:rPr>
        <w:t>submitt</w:t>
      </w:r>
      <w:r w:rsidR="00D46BC5" w:rsidRPr="0092423C">
        <w:rPr>
          <w:rFonts w:ascii="Arial" w:hAnsi="Arial" w:cs="Arial"/>
        </w:rPr>
        <w:t>ed to</w:t>
      </w:r>
      <w:r w:rsidRPr="0092423C">
        <w:rPr>
          <w:rFonts w:ascii="Arial" w:hAnsi="Arial" w:cs="Arial"/>
        </w:rPr>
        <w:t xml:space="preserve"> WYPFs </w:t>
      </w:r>
      <w:r w:rsidR="00D46BC5" w:rsidRPr="0092423C">
        <w:rPr>
          <w:rFonts w:ascii="Arial" w:hAnsi="Arial" w:cs="Arial"/>
        </w:rPr>
        <w:t xml:space="preserve">prior to their </w:t>
      </w:r>
      <w:r w:rsidRPr="0092423C">
        <w:rPr>
          <w:rFonts w:ascii="Arial" w:hAnsi="Arial" w:cs="Arial"/>
        </w:rPr>
        <w:t xml:space="preserve">31 January </w:t>
      </w:r>
      <w:r w:rsidR="00066D98" w:rsidRPr="0092423C">
        <w:rPr>
          <w:rFonts w:ascii="Arial" w:hAnsi="Arial" w:cs="Arial"/>
        </w:rPr>
        <w:t>deadline</w:t>
      </w:r>
      <w:r w:rsidRPr="0092423C">
        <w:rPr>
          <w:rFonts w:ascii="Arial" w:hAnsi="Arial" w:cs="Arial"/>
        </w:rPr>
        <w:t xml:space="preserve">. </w:t>
      </w:r>
    </w:p>
    <w:p w14:paraId="53F8DB78" w14:textId="77777777" w:rsidR="00AD44CB" w:rsidRPr="0092423C" w:rsidRDefault="00AD44CB" w:rsidP="00AD44CB">
      <w:pPr>
        <w:pStyle w:val="ListParagraph"/>
        <w:autoSpaceDE w:val="0"/>
        <w:autoSpaceDN w:val="0"/>
        <w:adjustRightInd w:val="0"/>
        <w:spacing w:line="240" w:lineRule="auto"/>
        <w:ind w:left="709"/>
        <w:jc w:val="both"/>
        <w:rPr>
          <w:rFonts w:ascii="Arial" w:hAnsi="Arial" w:cs="Arial"/>
        </w:rPr>
      </w:pPr>
    </w:p>
    <w:p w14:paraId="06F8C06D" w14:textId="3353E85E" w:rsidR="00837972" w:rsidRPr="0092423C" w:rsidRDefault="00AD44CB" w:rsidP="00837972">
      <w:pPr>
        <w:pStyle w:val="ListParagraph"/>
        <w:numPr>
          <w:ilvl w:val="1"/>
          <w:numId w:val="41"/>
        </w:numPr>
        <w:autoSpaceDE w:val="0"/>
        <w:autoSpaceDN w:val="0"/>
        <w:adjustRightInd w:val="0"/>
        <w:spacing w:line="240" w:lineRule="auto"/>
        <w:ind w:left="709" w:hanging="709"/>
        <w:jc w:val="both"/>
        <w:rPr>
          <w:rFonts w:ascii="Arial" w:hAnsi="Arial" w:cs="Arial"/>
        </w:rPr>
      </w:pPr>
      <w:r w:rsidRPr="0092423C">
        <w:rPr>
          <w:rFonts w:ascii="Arial" w:hAnsi="Arial" w:cs="Arial"/>
        </w:rPr>
        <w:t>The annual Pensions Regulator</w:t>
      </w:r>
      <w:r w:rsidR="00692E14" w:rsidRPr="0092423C">
        <w:rPr>
          <w:rFonts w:ascii="Arial" w:hAnsi="Arial" w:cs="Arial"/>
        </w:rPr>
        <w:t>’s</w:t>
      </w:r>
      <w:r w:rsidR="00692E14" w:rsidRPr="0092423C">
        <w:rPr>
          <w:rFonts w:eastAsia="Arial Unicode MS" w:cs="Arial"/>
          <w:w w:val="105"/>
        </w:rPr>
        <w:t xml:space="preserve"> </w:t>
      </w:r>
      <w:r w:rsidR="00692E14" w:rsidRPr="0092423C">
        <w:rPr>
          <w:rFonts w:ascii="Arial" w:eastAsia="Arial Unicode MS" w:hAnsi="Arial" w:cs="Arial"/>
          <w:w w:val="105"/>
        </w:rPr>
        <w:t>Public Service Governance &amp; Administration Survey</w:t>
      </w:r>
      <w:r w:rsidRPr="0092423C">
        <w:rPr>
          <w:rFonts w:ascii="Arial" w:hAnsi="Arial" w:cs="Arial"/>
        </w:rPr>
        <w:t xml:space="preserve"> </w:t>
      </w:r>
      <w:r w:rsidR="00F460D9" w:rsidRPr="0092423C">
        <w:rPr>
          <w:rFonts w:ascii="Arial" w:hAnsi="Arial" w:cs="Arial"/>
        </w:rPr>
        <w:t xml:space="preserve">that is sent to all public sector </w:t>
      </w:r>
      <w:r w:rsidRPr="0092423C">
        <w:rPr>
          <w:rFonts w:ascii="Arial" w:hAnsi="Arial" w:cs="Arial"/>
        </w:rPr>
        <w:t>scheme</w:t>
      </w:r>
      <w:r w:rsidR="00F460D9" w:rsidRPr="0092423C">
        <w:rPr>
          <w:rFonts w:ascii="Arial" w:hAnsi="Arial" w:cs="Arial"/>
        </w:rPr>
        <w:t>s was received during January (somewhat later than in p</w:t>
      </w:r>
      <w:r w:rsidR="00A946F8" w:rsidRPr="0092423C">
        <w:rPr>
          <w:rFonts w:ascii="Arial" w:hAnsi="Arial" w:cs="Arial"/>
        </w:rPr>
        <w:t xml:space="preserve">revious years).  This was completed by the Pensions Administrator / Manager and </w:t>
      </w:r>
      <w:r w:rsidR="0021206F" w:rsidRPr="0092423C">
        <w:rPr>
          <w:rFonts w:ascii="Arial" w:hAnsi="Arial" w:cs="Arial"/>
        </w:rPr>
        <w:t xml:space="preserve">submitted by their 12 February </w:t>
      </w:r>
      <w:r w:rsidR="0080492E" w:rsidRPr="0092423C">
        <w:rPr>
          <w:rFonts w:ascii="Arial" w:hAnsi="Arial" w:cs="Arial"/>
        </w:rPr>
        <w:t>deadline.</w:t>
      </w:r>
      <w:r w:rsidR="00B55032" w:rsidRPr="0092423C">
        <w:rPr>
          <w:rFonts w:ascii="Arial" w:hAnsi="Arial" w:cs="Arial"/>
        </w:rPr>
        <w:t xml:space="preserve">  The completed survey is attached.</w:t>
      </w:r>
    </w:p>
    <w:p w14:paraId="0FFACF39" w14:textId="77777777" w:rsidR="00837972" w:rsidRPr="0092423C" w:rsidRDefault="00837972" w:rsidP="00837972">
      <w:pPr>
        <w:pStyle w:val="ListParagraph"/>
        <w:rPr>
          <w:rFonts w:ascii="Arial" w:hAnsi="Arial" w:cs="Arial"/>
        </w:rPr>
      </w:pPr>
    </w:p>
    <w:p w14:paraId="2A03709F" w14:textId="77777777" w:rsidR="00975BDE" w:rsidRPr="0092423C" w:rsidRDefault="00D6127F" w:rsidP="00C916A7">
      <w:pPr>
        <w:pStyle w:val="ListParagraph"/>
        <w:numPr>
          <w:ilvl w:val="1"/>
          <w:numId w:val="41"/>
        </w:numPr>
        <w:autoSpaceDE w:val="0"/>
        <w:autoSpaceDN w:val="0"/>
        <w:adjustRightInd w:val="0"/>
        <w:spacing w:line="240" w:lineRule="auto"/>
        <w:ind w:left="709" w:hanging="709"/>
        <w:jc w:val="both"/>
        <w:rPr>
          <w:rFonts w:ascii="Arial" w:hAnsi="Arial" w:cs="Arial"/>
        </w:rPr>
      </w:pPr>
      <w:r w:rsidRPr="0092423C">
        <w:rPr>
          <w:rFonts w:ascii="Arial" w:hAnsi="Arial" w:cs="Arial"/>
        </w:rPr>
        <w:t xml:space="preserve">The </w:t>
      </w:r>
      <w:r w:rsidR="00E02EBF" w:rsidRPr="0092423C">
        <w:rPr>
          <w:rFonts w:ascii="Arial" w:hAnsi="Arial" w:cs="Arial"/>
        </w:rPr>
        <w:t>data collection spreadsheet, and guidance</w:t>
      </w:r>
      <w:r w:rsidR="00E46C68" w:rsidRPr="0092423C">
        <w:rPr>
          <w:rFonts w:ascii="Arial" w:hAnsi="Arial" w:cs="Arial"/>
        </w:rPr>
        <w:t xml:space="preserve">, in relation to the </w:t>
      </w:r>
      <w:r w:rsidRPr="0092423C">
        <w:rPr>
          <w:rFonts w:ascii="Arial" w:hAnsi="Arial" w:cs="Arial"/>
        </w:rPr>
        <w:t>annual G</w:t>
      </w:r>
      <w:r w:rsidR="00E46C68" w:rsidRPr="0092423C">
        <w:rPr>
          <w:rFonts w:ascii="Arial" w:hAnsi="Arial" w:cs="Arial"/>
        </w:rPr>
        <w:t>overnment Actuary’s Department (GAD)</w:t>
      </w:r>
      <w:r w:rsidRPr="0092423C">
        <w:rPr>
          <w:rFonts w:ascii="Arial" w:hAnsi="Arial" w:cs="Arial"/>
        </w:rPr>
        <w:t xml:space="preserve"> exercise for the 2020/21 IAS19 Valuation for the </w:t>
      </w:r>
      <w:r w:rsidR="00D10CA6" w:rsidRPr="0092423C">
        <w:rPr>
          <w:rFonts w:ascii="Arial" w:hAnsi="Arial" w:cs="Arial"/>
        </w:rPr>
        <w:t>s</w:t>
      </w:r>
      <w:r w:rsidRPr="0092423C">
        <w:rPr>
          <w:rFonts w:ascii="Arial" w:hAnsi="Arial" w:cs="Arial"/>
        </w:rPr>
        <w:t xml:space="preserve">tatutory </w:t>
      </w:r>
      <w:r w:rsidR="00D10CA6" w:rsidRPr="0092423C">
        <w:rPr>
          <w:rFonts w:ascii="Arial" w:hAnsi="Arial" w:cs="Arial"/>
        </w:rPr>
        <w:t>a</w:t>
      </w:r>
      <w:r w:rsidRPr="0092423C">
        <w:rPr>
          <w:rFonts w:ascii="Arial" w:hAnsi="Arial" w:cs="Arial"/>
        </w:rPr>
        <w:t xml:space="preserve">ccounts </w:t>
      </w:r>
      <w:r w:rsidR="00D10CA6" w:rsidRPr="0092423C">
        <w:rPr>
          <w:rFonts w:ascii="Arial" w:hAnsi="Arial" w:cs="Arial"/>
        </w:rPr>
        <w:t>was received 12 February</w:t>
      </w:r>
      <w:r w:rsidR="00FB4E8F" w:rsidRPr="0092423C">
        <w:rPr>
          <w:rFonts w:ascii="Arial" w:hAnsi="Arial" w:cs="Arial"/>
        </w:rPr>
        <w:t>.  This requires input from WYPF</w:t>
      </w:r>
      <w:r w:rsidR="006C2194" w:rsidRPr="0092423C">
        <w:rPr>
          <w:rFonts w:ascii="Arial" w:hAnsi="Arial" w:cs="Arial"/>
        </w:rPr>
        <w:t xml:space="preserve">, the Pensions Administrator / Manager and the Head of Finance </w:t>
      </w:r>
      <w:r w:rsidR="00AB762A" w:rsidRPr="0092423C">
        <w:rPr>
          <w:rFonts w:ascii="Arial" w:hAnsi="Arial" w:cs="Arial"/>
        </w:rPr>
        <w:t xml:space="preserve">to report, by GADs deadline of 12 March, </w:t>
      </w:r>
      <w:r w:rsidR="00A41069" w:rsidRPr="0092423C">
        <w:rPr>
          <w:rFonts w:ascii="Arial" w:hAnsi="Arial" w:cs="Arial"/>
        </w:rPr>
        <w:t>scheme membership numbers and pensionable pay figures</w:t>
      </w:r>
      <w:r w:rsidR="00923D82" w:rsidRPr="0092423C">
        <w:rPr>
          <w:rFonts w:ascii="Arial" w:hAnsi="Arial" w:cs="Arial"/>
        </w:rPr>
        <w:t xml:space="preserve">, with </w:t>
      </w:r>
      <w:r w:rsidR="000E25EC" w:rsidRPr="0092423C">
        <w:rPr>
          <w:rFonts w:ascii="Arial" w:hAnsi="Arial" w:cs="Arial"/>
        </w:rPr>
        <w:t xml:space="preserve">all </w:t>
      </w:r>
      <w:r w:rsidR="00923D82" w:rsidRPr="0092423C">
        <w:rPr>
          <w:rFonts w:ascii="Arial" w:hAnsi="Arial" w:cs="Arial"/>
        </w:rPr>
        <w:t>findings</w:t>
      </w:r>
      <w:r w:rsidR="000E25EC" w:rsidRPr="0092423C">
        <w:rPr>
          <w:rFonts w:ascii="Arial" w:hAnsi="Arial" w:cs="Arial"/>
        </w:rPr>
        <w:t xml:space="preserve"> that</w:t>
      </w:r>
      <w:r w:rsidR="00923D82" w:rsidRPr="0092423C">
        <w:rPr>
          <w:rFonts w:ascii="Arial" w:hAnsi="Arial" w:cs="Arial"/>
        </w:rPr>
        <w:t xml:space="preserve"> fall outside of GADs expected tolerances </w:t>
      </w:r>
      <w:r w:rsidR="00975BDE" w:rsidRPr="0092423C">
        <w:rPr>
          <w:rFonts w:ascii="Arial" w:hAnsi="Arial" w:cs="Arial"/>
        </w:rPr>
        <w:t>investigated and explained.</w:t>
      </w:r>
    </w:p>
    <w:p w14:paraId="61045282" w14:textId="77777777" w:rsidR="00975BDE" w:rsidRPr="0092423C" w:rsidRDefault="00975BDE" w:rsidP="00975BDE">
      <w:pPr>
        <w:pStyle w:val="ListParagraph"/>
        <w:rPr>
          <w:rFonts w:ascii="Arial" w:hAnsi="Arial" w:cs="Arial"/>
        </w:rPr>
      </w:pPr>
    </w:p>
    <w:p w14:paraId="2EC1FCD6" w14:textId="5CE6C8EB" w:rsidR="00824914" w:rsidRPr="0092423C" w:rsidRDefault="00C15C1A" w:rsidP="00566158">
      <w:pPr>
        <w:pStyle w:val="ListParagraph"/>
        <w:numPr>
          <w:ilvl w:val="1"/>
          <w:numId w:val="41"/>
        </w:numPr>
        <w:autoSpaceDE w:val="0"/>
        <w:autoSpaceDN w:val="0"/>
        <w:adjustRightInd w:val="0"/>
        <w:spacing w:line="240" w:lineRule="auto"/>
        <w:ind w:left="709" w:hanging="709"/>
        <w:jc w:val="both"/>
        <w:rPr>
          <w:rFonts w:ascii="Arial" w:hAnsi="Arial" w:cs="Arial"/>
        </w:rPr>
      </w:pPr>
      <w:r w:rsidRPr="0092423C">
        <w:rPr>
          <w:rFonts w:ascii="Arial" w:hAnsi="Arial" w:cs="Arial"/>
        </w:rPr>
        <w:t xml:space="preserve">HMT </w:t>
      </w:r>
      <w:r w:rsidR="00A06781" w:rsidRPr="0092423C">
        <w:rPr>
          <w:rFonts w:ascii="Arial" w:hAnsi="Arial" w:cs="Arial"/>
        </w:rPr>
        <w:t xml:space="preserve">provided their response to the remedy </w:t>
      </w:r>
      <w:r w:rsidRPr="0092423C">
        <w:rPr>
          <w:rFonts w:ascii="Arial" w:hAnsi="Arial" w:cs="Arial"/>
        </w:rPr>
        <w:t xml:space="preserve">consultation </w:t>
      </w:r>
      <w:r w:rsidR="00A06781" w:rsidRPr="0092423C">
        <w:rPr>
          <w:rFonts w:ascii="Arial" w:hAnsi="Arial" w:cs="Arial"/>
        </w:rPr>
        <w:t xml:space="preserve">on 4 February.  The </w:t>
      </w:r>
      <w:r w:rsidR="00A06781" w:rsidRPr="0092423C">
        <w:rPr>
          <w:rFonts w:ascii="Arial" w:hAnsi="Arial" w:cs="Arial"/>
        </w:rPr>
        <w:t>Pensions Administrator / Manager</w:t>
      </w:r>
      <w:r w:rsidR="00D24D3E" w:rsidRPr="0092423C">
        <w:rPr>
          <w:rFonts w:ascii="Arial" w:hAnsi="Arial" w:cs="Arial"/>
        </w:rPr>
        <w:t xml:space="preserve"> emailed scheme members </w:t>
      </w:r>
      <w:r w:rsidR="008C43D6" w:rsidRPr="0092423C">
        <w:rPr>
          <w:rFonts w:ascii="Arial" w:hAnsi="Arial" w:cs="Arial"/>
        </w:rPr>
        <w:t>on 11 February to advise them that the ‘Deferred Choice Underpin</w:t>
      </w:r>
      <w:r w:rsidR="00444072" w:rsidRPr="0092423C">
        <w:rPr>
          <w:rFonts w:ascii="Arial" w:hAnsi="Arial" w:cs="Arial"/>
        </w:rPr>
        <w:t xml:space="preserve">’ (DCU) was the government’s preferred method of tackling remedy – as expected – as </w:t>
      </w:r>
      <w:r w:rsidR="00900BEC" w:rsidRPr="0092423C">
        <w:rPr>
          <w:rFonts w:ascii="Arial" w:hAnsi="Arial" w:cs="Arial"/>
        </w:rPr>
        <w:t xml:space="preserve">this would allow </w:t>
      </w:r>
      <w:proofErr w:type="spellStart"/>
      <w:proofErr w:type="gramStart"/>
      <w:r w:rsidR="00900BEC" w:rsidRPr="0092423C">
        <w:rPr>
          <w:rFonts w:ascii="Arial" w:hAnsi="Arial" w:cs="Arial"/>
        </w:rPr>
        <w:t>member’s</w:t>
      </w:r>
      <w:proofErr w:type="spellEnd"/>
      <w:proofErr w:type="gramEnd"/>
      <w:r w:rsidR="00900BEC" w:rsidRPr="0092423C">
        <w:rPr>
          <w:rFonts w:ascii="Arial" w:hAnsi="Arial" w:cs="Arial"/>
        </w:rPr>
        <w:t xml:space="preserve"> to make their choice of which scheme they want to be regarded as being a member of </w:t>
      </w:r>
      <w:r w:rsidR="00812E00" w:rsidRPr="0092423C">
        <w:rPr>
          <w:rFonts w:ascii="Arial" w:hAnsi="Arial" w:cs="Arial"/>
        </w:rPr>
        <w:t xml:space="preserve">at the point of retiring / leaving, as this </w:t>
      </w:r>
      <w:r w:rsidR="00943496" w:rsidRPr="0092423C">
        <w:rPr>
          <w:rFonts w:ascii="Arial" w:hAnsi="Arial" w:cs="Arial"/>
        </w:rPr>
        <w:t xml:space="preserve">minimises the risk of an inappropriate choice being made (as their career path / personal circumstances would have </w:t>
      </w:r>
      <w:r w:rsidR="00A05CC4" w:rsidRPr="0092423C">
        <w:rPr>
          <w:rFonts w:ascii="Arial" w:hAnsi="Arial" w:cs="Arial"/>
        </w:rPr>
        <w:t>already happened)</w:t>
      </w:r>
      <w:r w:rsidRPr="0092423C">
        <w:rPr>
          <w:rFonts w:ascii="Arial" w:hAnsi="Arial" w:cs="Arial"/>
        </w:rPr>
        <w:t>.</w:t>
      </w:r>
      <w:r w:rsidR="006B1464" w:rsidRPr="0092423C">
        <w:rPr>
          <w:rFonts w:ascii="Arial" w:hAnsi="Arial" w:cs="Arial"/>
        </w:rPr>
        <w:t xml:space="preserve">  The email attempted to re-emphasise that the full extent of the detail </w:t>
      </w:r>
      <w:proofErr w:type="gramStart"/>
      <w:r w:rsidR="006B1464" w:rsidRPr="0092423C">
        <w:rPr>
          <w:rFonts w:ascii="Arial" w:hAnsi="Arial" w:cs="Arial"/>
        </w:rPr>
        <w:t>wouldn’t</w:t>
      </w:r>
      <w:proofErr w:type="gramEnd"/>
      <w:r w:rsidR="006B1464" w:rsidRPr="0092423C">
        <w:rPr>
          <w:rFonts w:ascii="Arial" w:hAnsi="Arial" w:cs="Arial"/>
        </w:rPr>
        <w:t xml:space="preserve"> be known until regulations were </w:t>
      </w:r>
      <w:r w:rsidR="00C84A27" w:rsidRPr="0092423C">
        <w:rPr>
          <w:rFonts w:ascii="Arial" w:hAnsi="Arial" w:cs="Arial"/>
        </w:rPr>
        <w:t>drafted, consulted upon, and laid.</w:t>
      </w:r>
    </w:p>
    <w:p w14:paraId="66E65D8A" w14:textId="77777777" w:rsidR="00B10C3B" w:rsidRPr="0092423C" w:rsidRDefault="00B10C3B" w:rsidP="00B10C3B">
      <w:pPr>
        <w:pStyle w:val="ListParagraph"/>
        <w:rPr>
          <w:rFonts w:ascii="Arial" w:hAnsi="Arial" w:cs="Arial"/>
        </w:rPr>
      </w:pPr>
    </w:p>
    <w:p w14:paraId="57684099" w14:textId="58D5FE1A" w:rsidR="002974C8" w:rsidRPr="0092423C" w:rsidRDefault="002974C8" w:rsidP="00FA7F5E">
      <w:pPr>
        <w:pStyle w:val="ListParagraph"/>
        <w:numPr>
          <w:ilvl w:val="1"/>
          <w:numId w:val="41"/>
        </w:numPr>
        <w:autoSpaceDE w:val="0"/>
        <w:autoSpaceDN w:val="0"/>
        <w:adjustRightInd w:val="0"/>
        <w:spacing w:line="240" w:lineRule="auto"/>
        <w:ind w:left="709" w:hanging="709"/>
        <w:jc w:val="both"/>
        <w:rPr>
          <w:rFonts w:ascii="Arial" w:hAnsi="Arial" w:cs="Arial"/>
        </w:rPr>
      </w:pPr>
      <w:r w:rsidRPr="0092423C">
        <w:rPr>
          <w:rFonts w:ascii="Arial" w:hAnsi="Arial" w:cs="Arial"/>
        </w:rPr>
        <w:t>S</w:t>
      </w:r>
      <w:r w:rsidR="0005542A" w:rsidRPr="0092423C">
        <w:rPr>
          <w:rFonts w:ascii="Arial" w:hAnsi="Arial" w:cs="Arial"/>
        </w:rPr>
        <w:t>cheme Advisory Board (S</w:t>
      </w:r>
      <w:r w:rsidRPr="0092423C">
        <w:rPr>
          <w:rFonts w:ascii="Arial" w:hAnsi="Arial" w:cs="Arial"/>
        </w:rPr>
        <w:t>AB</w:t>
      </w:r>
      <w:r w:rsidR="0005542A" w:rsidRPr="0092423C">
        <w:rPr>
          <w:rFonts w:ascii="Arial" w:hAnsi="Arial" w:cs="Arial"/>
        </w:rPr>
        <w:t xml:space="preserve">) levy for 2020/21 </w:t>
      </w:r>
      <w:r w:rsidR="001179E7" w:rsidRPr="0092423C">
        <w:rPr>
          <w:rFonts w:ascii="Arial" w:hAnsi="Arial" w:cs="Arial"/>
        </w:rPr>
        <w:t>was paid by the due date.</w:t>
      </w:r>
    </w:p>
    <w:p w14:paraId="3461AE3B" w14:textId="77777777" w:rsidR="00AD44CB" w:rsidRPr="0092423C" w:rsidRDefault="00AD44CB" w:rsidP="00AD44CB">
      <w:pPr>
        <w:pStyle w:val="PlainText"/>
        <w:ind w:left="709"/>
        <w:jc w:val="both"/>
        <w:rPr>
          <w:rFonts w:ascii="Arial" w:hAnsi="Arial" w:cs="Arial"/>
          <w:szCs w:val="22"/>
        </w:rPr>
      </w:pPr>
    </w:p>
    <w:p w14:paraId="2265D8E3" w14:textId="77777777" w:rsidR="00AD44CB" w:rsidRPr="0092423C" w:rsidRDefault="00AD44CB" w:rsidP="00AD44CB">
      <w:pPr>
        <w:pStyle w:val="ListParagraph"/>
        <w:numPr>
          <w:ilvl w:val="0"/>
          <w:numId w:val="41"/>
        </w:numPr>
        <w:spacing w:after="0" w:line="240" w:lineRule="auto"/>
        <w:ind w:left="709" w:hanging="709"/>
        <w:jc w:val="both"/>
        <w:rPr>
          <w:rStyle w:val="fontstyle31"/>
          <w:rFonts w:ascii="Arial" w:hAnsi="Arial"/>
          <w:b/>
          <w:u w:val="single"/>
        </w:rPr>
      </w:pPr>
      <w:r w:rsidRPr="0092423C">
        <w:rPr>
          <w:rStyle w:val="fontstyle31"/>
          <w:rFonts w:ascii="Arial" w:hAnsi="Arial" w:cs="Arial"/>
          <w:b/>
          <w:u w:val="single"/>
        </w:rPr>
        <w:t xml:space="preserve">Discretions made by Scheme </w:t>
      </w:r>
      <w:proofErr w:type="gramStart"/>
      <w:r w:rsidRPr="0092423C">
        <w:rPr>
          <w:rStyle w:val="fontstyle31"/>
          <w:rFonts w:ascii="Arial" w:hAnsi="Arial" w:cs="Arial"/>
          <w:b/>
          <w:u w:val="single"/>
        </w:rPr>
        <w:t>Manager</w:t>
      </w:r>
      <w:proofErr w:type="gramEnd"/>
    </w:p>
    <w:p w14:paraId="383E52EF" w14:textId="77777777" w:rsidR="00AD44CB" w:rsidRPr="0092423C" w:rsidRDefault="00AD44CB" w:rsidP="00AD44CB">
      <w:pPr>
        <w:pStyle w:val="ListParagraph"/>
        <w:spacing w:after="0" w:line="240" w:lineRule="auto"/>
        <w:ind w:left="709"/>
        <w:jc w:val="both"/>
        <w:rPr>
          <w:rStyle w:val="fontstyle31"/>
          <w:rFonts w:ascii="Arial" w:hAnsi="Arial" w:cs="Arial"/>
          <w:b/>
          <w:u w:val="single"/>
        </w:rPr>
      </w:pPr>
    </w:p>
    <w:p w14:paraId="4A0065D4" w14:textId="77777777" w:rsidR="00AD44CB" w:rsidRPr="0092423C" w:rsidRDefault="00AD44CB" w:rsidP="00AD44CB">
      <w:pPr>
        <w:pStyle w:val="PlainText"/>
        <w:ind w:left="709" w:hanging="709"/>
        <w:jc w:val="both"/>
      </w:pPr>
      <w:r w:rsidRPr="0092423C">
        <w:rPr>
          <w:rStyle w:val="fontstyle31"/>
          <w:rFonts w:ascii="Arial" w:hAnsi="Arial" w:cs="Arial"/>
          <w:bCs/>
        </w:rPr>
        <w:t>7.1</w:t>
      </w:r>
      <w:r w:rsidRPr="0092423C">
        <w:rPr>
          <w:rStyle w:val="fontstyle31"/>
          <w:rFonts w:ascii="Arial" w:hAnsi="Arial" w:cs="Arial"/>
          <w:bCs/>
        </w:rPr>
        <w:tab/>
        <w:t xml:space="preserve">The Scheme Manager is responsible for the operation of the scheme, and the Police, Fire and Crime Commissioner is regarded as the Scheme Manager.  However, this duty has been delegated to </w:t>
      </w:r>
      <w:r w:rsidRPr="0092423C">
        <w:rPr>
          <w:rFonts w:ascii="Arial" w:hAnsi="Arial" w:cs="Arial"/>
          <w:szCs w:val="22"/>
        </w:rPr>
        <w:t xml:space="preserve">the Pensions Administrator / Manager.  </w:t>
      </w:r>
    </w:p>
    <w:p w14:paraId="0C4F490A" w14:textId="77777777" w:rsidR="00AD44CB" w:rsidRPr="0092423C" w:rsidRDefault="00AD44CB" w:rsidP="00AD44CB">
      <w:pPr>
        <w:spacing w:after="0" w:line="240" w:lineRule="auto"/>
        <w:ind w:left="709" w:hanging="709"/>
        <w:jc w:val="both"/>
        <w:rPr>
          <w:rStyle w:val="fontstyle31"/>
          <w:rFonts w:ascii="Arial" w:hAnsi="Arial"/>
          <w:bCs/>
        </w:rPr>
      </w:pPr>
    </w:p>
    <w:p w14:paraId="58B1C1FF" w14:textId="153D6CD1" w:rsidR="00AD44CB" w:rsidRPr="0092423C" w:rsidRDefault="00AD44CB" w:rsidP="00AD44CB">
      <w:pPr>
        <w:spacing w:after="0" w:line="240" w:lineRule="auto"/>
        <w:ind w:left="709" w:hanging="709"/>
        <w:jc w:val="both"/>
        <w:rPr>
          <w:rStyle w:val="fontstyle31"/>
          <w:rFonts w:ascii="Arial" w:hAnsi="Arial" w:cs="Arial"/>
          <w:bCs/>
        </w:rPr>
      </w:pPr>
      <w:r w:rsidRPr="0092423C">
        <w:rPr>
          <w:rStyle w:val="fontstyle31"/>
          <w:rFonts w:ascii="Arial" w:hAnsi="Arial" w:cs="Arial"/>
          <w:bCs/>
        </w:rPr>
        <w:t>7.2</w:t>
      </w:r>
      <w:r w:rsidRPr="0092423C">
        <w:rPr>
          <w:rStyle w:val="fontstyle31"/>
          <w:rFonts w:ascii="Arial" w:hAnsi="Arial" w:cs="Arial"/>
          <w:bCs/>
        </w:rPr>
        <w:tab/>
        <w:t xml:space="preserve">For the period 1 October to </w:t>
      </w:r>
      <w:r w:rsidR="00C13DDF" w:rsidRPr="0092423C">
        <w:rPr>
          <w:rStyle w:val="fontstyle31"/>
          <w:rFonts w:ascii="Arial" w:hAnsi="Arial" w:cs="Arial"/>
          <w:bCs/>
        </w:rPr>
        <w:t xml:space="preserve">31 </w:t>
      </w:r>
      <w:r w:rsidRPr="0092423C">
        <w:rPr>
          <w:rStyle w:val="fontstyle31"/>
          <w:rFonts w:ascii="Arial" w:hAnsi="Arial" w:cs="Arial"/>
          <w:bCs/>
        </w:rPr>
        <w:t>December 2020, no discretions needed to be exercised.</w:t>
      </w:r>
    </w:p>
    <w:p w14:paraId="70845900" w14:textId="2057555B" w:rsidR="002804AD" w:rsidRPr="0092423C" w:rsidRDefault="002804AD" w:rsidP="00AD44CB">
      <w:pPr>
        <w:spacing w:after="0" w:line="240" w:lineRule="auto"/>
        <w:ind w:left="709" w:hanging="709"/>
        <w:jc w:val="both"/>
        <w:rPr>
          <w:rStyle w:val="fontstyle31"/>
          <w:rFonts w:ascii="Arial" w:hAnsi="Arial" w:cs="Arial"/>
          <w:bCs/>
        </w:rPr>
      </w:pPr>
    </w:p>
    <w:p w14:paraId="51723D61" w14:textId="4DEBF212" w:rsidR="002804AD" w:rsidRPr="0092423C" w:rsidRDefault="002804AD" w:rsidP="00AD44CB">
      <w:pPr>
        <w:spacing w:after="0" w:line="240" w:lineRule="auto"/>
        <w:ind w:left="709" w:hanging="709"/>
        <w:jc w:val="both"/>
        <w:rPr>
          <w:rStyle w:val="fontstyle31"/>
          <w:rFonts w:ascii="Arial" w:hAnsi="Arial" w:cs="Arial"/>
          <w:bCs/>
        </w:rPr>
      </w:pPr>
      <w:r w:rsidRPr="0092423C">
        <w:rPr>
          <w:rStyle w:val="fontstyle31"/>
          <w:rFonts w:ascii="Arial" w:hAnsi="Arial" w:cs="Arial"/>
          <w:bCs/>
        </w:rPr>
        <w:t>7.3</w:t>
      </w:r>
      <w:r w:rsidRPr="0092423C">
        <w:rPr>
          <w:rStyle w:val="fontstyle31"/>
          <w:rFonts w:ascii="Arial" w:hAnsi="Arial" w:cs="Arial"/>
          <w:bCs/>
        </w:rPr>
        <w:tab/>
      </w:r>
      <w:r w:rsidR="00A93B7D" w:rsidRPr="0092423C">
        <w:rPr>
          <w:rStyle w:val="fontstyle31"/>
          <w:rFonts w:ascii="Arial" w:hAnsi="Arial" w:cs="Arial"/>
          <w:bCs/>
        </w:rPr>
        <w:t xml:space="preserve">However, </w:t>
      </w:r>
      <w:r w:rsidR="00404855" w:rsidRPr="0092423C">
        <w:rPr>
          <w:rStyle w:val="fontstyle31"/>
          <w:rFonts w:ascii="Arial" w:hAnsi="Arial" w:cs="Arial"/>
          <w:bCs/>
        </w:rPr>
        <w:t xml:space="preserve">the </w:t>
      </w:r>
      <w:r w:rsidR="00D566CE" w:rsidRPr="0092423C">
        <w:rPr>
          <w:rStyle w:val="fontstyle31"/>
          <w:rFonts w:ascii="Arial" w:hAnsi="Arial" w:cs="Arial"/>
          <w:bCs/>
        </w:rPr>
        <w:t xml:space="preserve">Scheme Manager has exercised </w:t>
      </w:r>
      <w:r w:rsidR="00B10C3B" w:rsidRPr="0092423C">
        <w:rPr>
          <w:rStyle w:val="fontstyle31"/>
          <w:rFonts w:ascii="Arial" w:hAnsi="Arial" w:cs="Arial"/>
          <w:bCs/>
        </w:rPr>
        <w:t xml:space="preserve">two </w:t>
      </w:r>
      <w:r w:rsidR="00A172DD" w:rsidRPr="0092423C">
        <w:rPr>
          <w:rStyle w:val="fontstyle31"/>
          <w:rFonts w:ascii="Arial" w:hAnsi="Arial" w:cs="Arial"/>
          <w:bCs/>
        </w:rPr>
        <w:t>discretion</w:t>
      </w:r>
      <w:r w:rsidR="00B10C3B" w:rsidRPr="0092423C">
        <w:rPr>
          <w:rStyle w:val="fontstyle31"/>
          <w:rFonts w:ascii="Arial" w:hAnsi="Arial" w:cs="Arial"/>
          <w:bCs/>
        </w:rPr>
        <w:t>s</w:t>
      </w:r>
      <w:r w:rsidR="00A172DD" w:rsidRPr="0092423C">
        <w:rPr>
          <w:rStyle w:val="fontstyle31"/>
          <w:rFonts w:ascii="Arial" w:hAnsi="Arial" w:cs="Arial"/>
          <w:bCs/>
        </w:rPr>
        <w:t xml:space="preserve"> so far </w:t>
      </w:r>
      <w:r w:rsidR="00A93B7D" w:rsidRPr="0092423C">
        <w:rPr>
          <w:rStyle w:val="fontstyle31"/>
          <w:rFonts w:ascii="Arial" w:hAnsi="Arial" w:cs="Arial"/>
          <w:bCs/>
        </w:rPr>
        <w:t xml:space="preserve">for the current </w:t>
      </w:r>
      <w:r w:rsidR="00A172DD" w:rsidRPr="0092423C">
        <w:rPr>
          <w:rStyle w:val="fontstyle31"/>
          <w:rFonts w:ascii="Arial" w:hAnsi="Arial" w:cs="Arial"/>
          <w:bCs/>
        </w:rPr>
        <w:t>quarter.</w:t>
      </w:r>
    </w:p>
    <w:p w14:paraId="4B4C8F70" w14:textId="53279C0B" w:rsidR="006868D0" w:rsidRPr="0092423C" w:rsidRDefault="006868D0" w:rsidP="00AD44CB">
      <w:pPr>
        <w:spacing w:after="0" w:line="240" w:lineRule="auto"/>
        <w:ind w:left="709" w:hanging="709"/>
        <w:jc w:val="both"/>
        <w:rPr>
          <w:rStyle w:val="fontstyle31"/>
          <w:rFonts w:ascii="Arial" w:hAnsi="Arial" w:cs="Arial"/>
          <w:bCs/>
        </w:rPr>
      </w:pPr>
    </w:p>
    <w:p w14:paraId="319A4277" w14:textId="17A97E26" w:rsidR="006868D0" w:rsidRPr="0092423C" w:rsidRDefault="006868D0" w:rsidP="00AD44CB">
      <w:pPr>
        <w:spacing w:after="0" w:line="240" w:lineRule="auto"/>
        <w:ind w:left="709" w:hanging="709"/>
        <w:jc w:val="both"/>
        <w:rPr>
          <w:rStyle w:val="fontstyle31"/>
          <w:rFonts w:ascii="Arial" w:hAnsi="Arial" w:cs="Arial"/>
          <w:bCs/>
        </w:rPr>
      </w:pPr>
      <w:r w:rsidRPr="0092423C">
        <w:rPr>
          <w:rStyle w:val="fontstyle31"/>
          <w:rFonts w:ascii="Arial" w:hAnsi="Arial" w:cs="Arial"/>
          <w:bCs/>
        </w:rPr>
        <w:t>7.4</w:t>
      </w:r>
      <w:r w:rsidRPr="0092423C">
        <w:rPr>
          <w:rStyle w:val="fontstyle31"/>
          <w:rFonts w:ascii="Arial" w:hAnsi="Arial" w:cs="Arial"/>
          <w:bCs/>
        </w:rPr>
        <w:tab/>
      </w:r>
      <w:r w:rsidR="001B7666" w:rsidRPr="0092423C">
        <w:rPr>
          <w:rStyle w:val="fontstyle31"/>
          <w:rFonts w:ascii="Arial" w:hAnsi="Arial" w:cs="Arial"/>
          <w:bCs/>
        </w:rPr>
        <w:t xml:space="preserve">both relate to </w:t>
      </w:r>
      <w:r w:rsidRPr="0092423C">
        <w:rPr>
          <w:rStyle w:val="fontstyle31"/>
          <w:rFonts w:ascii="Arial" w:hAnsi="Arial" w:cs="Arial"/>
          <w:bCs/>
        </w:rPr>
        <w:t>wholetime member</w:t>
      </w:r>
      <w:r w:rsidR="001B7666" w:rsidRPr="0092423C">
        <w:rPr>
          <w:rStyle w:val="fontstyle31"/>
          <w:rFonts w:ascii="Arial" w:hAnsi="Arial" w:cs="Arial"/>
          <w:bCs/>
        </w:rPr>
        <w:t>s</w:t>
      </w:r>
      <w:r w:rsidRPr="0092423C">
        <w:rPr>
          <w:rStyle w:val="fontstyle31"/>
          <w:rFonts w:ascii="Arial" w:hAnsi="Arial" w:cs="Arial"/>
          <w:bCs/>
        </w:rPr>
        <w:t xml:space="preserve"> of the 2015 scheme </w:t>
      </w:r>
      <w:r w:rsidR="003862A8" w:rsidRPr="0092423C">
        <w:rPr>
          <w:rStyle w:val="fontstyle31"/>
          <w:rFonts w:ascii="Arial" w:hAnsi="Arial" w:cs="Arial"/>
          <w:bCs/>
        </w:rPr>
        <w:t xml:space="preserve">that </w:t>
      </w:r>
      <w:r w:rsidR="00926EF0" w:rsidRPr="0092423C">
        <w:rPr>
          <w:rStyle w:val="fontstyle31"/>
          <w:rFonts w:ascii="Arial" w:hAnsi="Arial" w:cs="Arial"/>
          <w:bCs/>
        </w:rPr>
        <w:t>enquired about transferring previous pension benefits from non-occupational scheme</w:t>
      </w:r>
      <w:r w:rsidR="003862A8" w:rsidRPr="0092423C">
        <w:rPr>
          <w:rStyle w:val="fontstyle31"/>
          <w:rFonts w:ascii="Arial" w:hAnsi="Arial" w:cs="Arial"/>
          <w:bCs/>
        </w:rPr>
        <w:t>s a matter of weeks</w:t>
      </w:r>
      <w:r w:rsidR="00195DB1" w:rsidRPr="0092423C">
        <w:rPr>
          <w:rStyle w:val="fontstyle31"/>
          <w:rFonts w:ascii="Arial" w:hAnsi="Arial" w:cs="Arial"/>
          <w:bCs/>
        </w:rPr>
        <w:t xml:space="preserve"> past their 12-month anniversary of joining.</w:t>
      </w:r>
    </w:p>
    <w:p w14:paraId="66C3E257" w14:textId="03CF1EA4" w:rsidR="003B4B8A" w:rsidRPr="0092423C" w:rsidRDefault="003B4B8A" w:rsidP="00AD44CB">
      <w:pPr>
        <w:spacing w:after="0" w:line="240" w:lineRule="auto"/>
        <w:ind w:left="709" w:hanging="709"/>
        <w:jc w:val="both"/>
        <w:rPr>
          <w:rStyle w:val="fontstyle31"/>
          <w:rFonts w:ascii="Arial" w:hAnsi="Arial" w:cs="Arial"/>
          <w:bCs/>
        </w:rPr>
      </w:pPr>
    </w:p>
    <w:p w14:paraId="3BD736CC" w14:textId="3B640599" w:rsidR="003B4B8A" w:rsidRPr="0092423C" w:rsidRDefault="003B4B8A" w:rsidP="00AD44CB">
      <w:pPr>
        <w:spacing w:after="0" w:line="240" w:lineRule="auto"/>
        <w:ind w:left="709" w:hanging="709"/>
        <w:jc w:val="both"/>
        <w:rPr>
          <w:rStyle w:val="fontstyle31"/>
          <w:rFonts w:ascii="Arial" w:hAnsi="Arial" w:cs="Arial"/>
        </w:rPr>
      </w:pPr>
      <w:r w:rsidRPr="0092423C">
        <w:rPr>
          <w:rStyle w:val="fontstyle31"/>
          <w:rFonts w:ascii="Arial" w:hAnsi="Arial" w:cs="Arial"/>
          <w:bCs/>
        </w:rPr>
        <w:lastRenderedPageBreak/>
        <w:t>7.5</w:t>
      </w:r>
      <w:r w:rsidRPr="0092423C">
        <w:rPr>
          <w:rStyle w:val="fontstyle31"/>
          <w:rFonts w:ascii="Arial" w:hAnsi="Arial" w:cs="Arial"/>
          <w:bCs/>
        </w:rPr>
        <w:tab/>
        <w:t>Regulation 141</w:t>
      </w:r>
      <w:r w:rsidR="00D212E0" w:rsidRPr="0092423C">
        <w:rPr>
          <w:rStyle w:val="fontstyle31"/>
          <w:rFonts w:ascii="Arial" w:hAnsi="Arial" w:cs="Arial"/>
          <w:bCs/>
        </w:rPr>
        <w:t xml:space="preserve">(3) </w:t>
      </w:r>
      <w:r w:rsidRPr="0092423C">
        <w:rPr>
          <w:rStyle w:val="fontstyle31"/>
          <w:rFonts w:ascii="Arial" w:hAnsi="Arial" w:cs="Arial"/>
          <w:bCs/>
        </w:rPr>
        <w:t>of the 2015 scheme’s regulations (the</w:t>
      </w:r>
      <w:r w:rsidR="00D96748" w:rsidRPr="0092423C">
        <w:rPr>
          <w:rFonts w:ascii="Arial" w:hAnsi="Arial" w:cs="Arial"/>
        </w:rPr>
        <w:t xml:space="preserve"> Firefighters’ Pension Scheme (England) Regulations 2014)</w:t>
      </w:r>
      <w:r w:rsidR="000C363E" w:rsidRPr="0092423C">
        <w:rPr>
          <w:rFonts w:ascii="Arial" w:hAnsi="Arial" w:cs="Arial"/>
        </w:rPr>
        <w:t xml:space="preserve"> state</w:t>
      </w:r>
      <w:r w:rsidR="00D212E0" w:rsidRPr="0092423C">
        <w:rPr>
          <w:rFonts w:ascii="Arial" w:hAnsi="Arial" w:cs="Arial"/>
        </w:rPr>
        <w:t xml:space="preserve"> that transfers </w:t>
      </w:r>
      <w:r w:rsidR="009C53B6" w:rsidRPr="0092423C">
        <w:rPr>
          <w:rFonts w:ascii="Arial" w:hAnsi="Arial" w:cs="Arial"/>
        </w:rPr>
        <w:t>should be requested for a non-occupational pension scheme within the f</w:t>
      </w:r>
      <w:r w:rsidR="00353C7D" w:rsidRPr="0092423C">
        <w:rPr>
          <w:rFonts w:ascii="Arial" w:hAnsi="Arial" w:cs="Arial"/>
        </w:rPr>
        <w:t>i</w:t>
      </w:r>
      <w:r w:rsidR="009C53B6" w:rsidRPr="0092423C">
        <w:rPr>
          <w:rFonts w:ascii="Arial" w:hAnsi="Arial" w:cs="Arial"/>
        </w:rPr>
        <w:t xml:space="preserve">rst 12 months of </w:t>
      </w:r>
      <w:r w:rsidR="00353C7D" w:rsidRPr="0092423C">
        <w:rPr>
          <w:rFonts w:ascii="Arial" w:hAnsi="Arial" w:cs="Arial"/>
        </w:rPr>
        <w:t>the individual becoming</w:t>
      </w:r>
      <w:r w:rsidR="00A3736F" w:rsidRPr="0092423C">
        <w:rPr>
          <w:rFonts w:ascii="Arial" w:hAnsi="Arial" w:cs="Arial"/>
        </w:rPr>
        <w:t xml:space="preserve"> an active member</w:t>
      </w:r>
      <w:r w:rsidR="000C363E" w:rsidRPr="0092423C">
        <w:rPr>
          <w:rFonts w:ascii="Arial" w:hAnsi="Arial" w:cs="Arial"/>
        </w:rPr>
        <w:t>:</w:t>
      </w:r>
    </w:p>
    <w:p w14:paraId="366C4AC6" w14:textId="24A7B59F" w:rsidR="00AD44CB" w:rsidRPr="0092423C" w:rsidRDefault="00AD44CB" w:rsidP="00AD44CB">
      <w:pPr>
        <w:spacing w:after="0" w:line="240" w:lineRule="auto"/>
        <w:jc w:val="both"/>
        <w:rPr>
          <w:rStyle w:val="fontstyle31"/>
          <w:rFonts w:ascii="Arial" w:hAnsi="Arial" w:cs="Arial"/>
          <w:bCs/>
        </w:rPr>
      </w:pPr>
    </w:p>
    <w:p w14:paraId="50EF5E57" w14:textId="0A0317AF" w:rsidR="007D0E06" w:rsidRPr="0092423C" w:rsidRDefault="007D0E06" w:rsidP="00AD44CB">
      <w:pPr>
        <w:spacing w:after="0" w:line="240" w:lineRule="auto"/>
        <w:jc w:val="both"/>
        <w:rPr>
          <w:rStyle w:val="fontstyle31"/>
          <w:rFonts w:ascii="Arial" w:hAnsi="Arial" w:cs="Arial"/>
          <w:bCs/>
        </w:rPr>
      </w:pPr>
    </w:p>
    <w:p w14:paraId="33B05384" w14:textId="7A6E9F26" w:rsidR="007D0E06" w:rsidRPr="0092423C" w:rsidRDefault="000B5FD4" w:rsidP="00AD44CB">
      <w:pPr>
        <w:spacing w:after="0" w:line="240" w:lineRule="auto"/>
        <w:jc w:val="both"/>
        <w:rPr>
          <w:rStyle w:val="fontstyle31"/>
          <w:rFonts w:ascii="Arial" w:hAnsi="Arial" w:cs="Arial"/>
          <w:bCs/>
        </w:rPr>
      </w:pPr>
      <w:r w:rsidRPr="0092423C">
        <w:rPr>
          <w:noProof/>
        </w:rPr>
        <w:drawing>
          <wp:inline distT="0" distB="0" distL="0" distR="0" wp14:anchorId="00DC6DF8" wp14:editId="23736BA2">
            <wp:extent cx="5543550" cy="2009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43550" cy="2009775"/>
                    </a:xfrm>
                    <a:prstGeom prst="rect">
                      <a:avLst/>
                    </a:prstGeom>
                  </pic:spPr>
                </pic:pic>
              </a:graphicData>
            </a:graphic>
          </wp:inline>
        </w:drawing>
      </w:r>
    </w:p>
    <w:p w14:paraId="138AD9B9" w14:textId="77777777" w:rsidR="00A3736F" w:rsidRPr="0092423C" w:rsidRDefault="00A3736F" w:rsidP="00AD44CB">
      <w:pPr>
        <w:spacing w:after="0" w:line="240" w:lineRule="auto"/>
        <w:jc w:val="both"/>
        <w:rPr>
          <w:rStyle w:val="fontstyle31"/>
          <w:rFonts w:ascii="Arial" w:hAnsi="Arial" w:cs="Arial"/>
          <w:bCs/>
        </w:rPr>
      </w:pPr>
    </w:p>
    <w:p w14:paraId="7B370159" w14:textId="714FFEA9" w:rsidR="007D0E06" w:rsidRPr="0092423C" w:rsidRDefault="00A3736F" w:rsidP="009831F7">
      <w:pPr>
        <w:spacing w:after="0" w:line="240" w:lineRule="auto"/>
        <w:ind w:left="709" w:hanging="709"/>
        <w:jc w:val="both"/>
        <w:rPr>
          <w:rStyle w:val="fontstyle31"/>
          <w:rFonts w:ascii="Arial" w:hAnsi="Arial" w:cs="Arial"/>
          <w:bCs/>
        </w:rPr>
      </w:pPr>
      <w:r w:rsidRPr="0092423C">
        <w:rPr>
          <w:rStyle w:val="fontstyle31"/>
          <w:rFonts w:ascii="Arial" w:hAnsi="Arial" w:cs="Arial"/>
          <w:bCs/>
        </w:rPr>
        <w:t>7.6</w:t>
      </w:r>
      <w:r w:rsidRPr="0092423C">
        <w:rPr>
          <w:rStyle w:val="fontstyle31"/>
          <w:rFonts w:ascii="Arial" w:hAnsi="Arial" w:cs="Arial"/>
          <w:bCs/>
        </w:rPr>
        <w:tab/>
      </w:r>
      <w:r w:rsidR="0082124B" w:rsidRPr="0092423C">
        <w:rPr>
          <w:rStyle w:val="fontstyle31"/>
          <w:rFonts w:ascii="Arial" w:hAnsi="Arial" w:cs="Arial"/>
          <w:bCs/>
        </w:rPr>
        <w:t xml:space="preserve">As the discretions are close to completion, and this discretion is being </w:t>
      </w:r>
      <w:r w:rsidR="009831F7" w:rsidRPr="0092423C">
        <w:rPr>
          <w:rStyle w:val="fontstyle31"/>
          <w:rFonts w:ascii="Arial" w:hAnsi="Arial" w:cs="Arial"/>
          <w:bCs/>
        </w:rPr>
        <w:t>amended to allow transfers beyond the first 12 months</w:t>
      </w:r>
      <w:r w:rsidR="00352588" w:rsidRPr="0092423C">
        <w:rPr>
          <w:rStyle w:val="fontstyle31"/>
          <w:rFonts w:ascii="Arial" w:hAnsi="Arial" w:cs="Arial"/>
          <w:bCs/>
        </w:rPr>
        <w:t xml:space="preserve">, the </w:t>
      </w:r>
      <w:r w:rsidR="00352588" w:rsidRPr="0092423C">
        <w:rPr>
          <w:rFonts w:ascii="Arial" w:hAnsi="Arial" w:cs="Arial"/>
        </w:rPr>
        <w:t xml:space="preserve">Pensions Administrator / Manager advised WYPF that </w:t>
      </w:r>
      <w:r w:rsidR="00675FC1" w:rsidRPr="0092423C">
        <w:rPr>
          <w:rFonts w:ascii="Arial" w:hAnsi="Arial" w:cs="Arial"/>
        </w:rPr>
        <w:t xml:space="preserve">both </w:t>
      </w:r>
      <w:r w:rsidR="00352588" w:rsidRPr="0092423C">
        <w:rPr>
          <w:rFonts w:ascii="Arial" w:hAnsi="Arial" w:cs="Arial"/>
        </w:rPr>
        <w:t>case</w:t>
      </w:r>
      <w:r w:rsidR="00675FC1" w:rsidRPr="0092423C">
        <w:rPr>
          <w:rFonts w:ascii="Arial" w:hAnsi="Arial" w:cs="Arial"/>
        </w:rPr>
        <w:t>s</w:t>
      </w:r>
      <w:r w:rsidR="00352588" w:rsidRPr="0092423C">
        <w:rPr>
          <w:rFonts w:ascii="Arial" w:hAnsi="Arial" w:cs="Arial"/>
        </w:rPr>
        <w:t xml:space="preserve"> could proceed</w:t>
      </w:r>
      <w:r w:rsidR="000861AF" w:rsidRPr="0092423C">
        <w:rPr>
          <w:rFonts w:ascii="Arial" w:hAnsi="Arial" w:cs="Arial"/>
        </w:rPr>
        <w:t>.</w:t>
      </w:r>
    </w:p>
    <w:p w14:paraId="767D13D7" w14:textId="77777777" w:rsidR="007D0E06" w:rsidRPr="0092423C" w:rsidRDefault="007D0E06" w:rsidP="00AD44CB">
      <w:pPr>
        <w:spacing w:after="0" w:line="240" w:lineRule="auto"/>
        <w:jc w:val="both"/>
        <w:rPr>
          <w:rStyle w:val="fontstyle31"/>
          <w:rFonts w:ascii="Arial" w:hAnsi="Arial" w:cs="Arial"/>
          <w:bCs/>
        </w:rPr>
      </w:pPr>
    </w:p>
    <w:p w14:paraId="737D606C" w14:textId="77777777" w:rsidR="00AD44CB" w:rsidRPr="0092423C" w:rsidRDefault="00AD44CB" w:rsidP="00AD44CB">
      <w:pPr>
        <w:pStyle w:val="ListParagraph"/>
        <w:spacing w:after="0" w:line="240" w:lineRule="auto"/>
        <w:ind w:left="709"/>
        <w:jc w:val="both"/>
        <w:rPr>
          <w:rStyle w:val="fontstyle31"/>
          <w:rFonts w:ascii="Arial" w:hAnsi="Arial" w:cs="Arial"/>
          <w:b/>
          <w:u w:val="single"/>
        </w:rPr>
      </w:pPr>
    </w:p>
    <w:p w14:paraId="2BE90EEA" w14:textId="77777777" w:rsidR="00AD44CB" w:rsidRPr="0092423C" w:rsidRDefault="00AD44CB" w:rsidP="00AD44CB">
      <w:pPr>
        <w:pStyle w:val="ListParagraph"/>
        <w:numPr>
          <w:ilvl w:val="0"/>
          <w:numId w:val="41"/>
        </w:numPr>
        <w:spacing w:after="0" w:line="240" w:lineRule="auto"/>
        <w:ind w:left="709" w:hanging="709"/>
        <w:jc w:val="both"/>
        <w:rPr>
          <w:rStyle w:val="fontstyle31"/>
          <w:rFonts w:ascii="Arial" w:hAnsi="Arial" w:cs="Arial"/>
          <w:b/>
          <w:u w:val="single"/>
        </w:rPr>
      </w:pPr>
      <w:r w:rsidRPr="0092423C">
        <w:rPr>
          <w:rStyle w:val="fontstyle31"/>
          <w:rFonts w:ascii="Arial" w:hAnsi="Arial" w:cs="Arial"/>
          <w:b/>
          <w:u w:val="single"/>
        </w:rPr>
        <w:t xml:space="preserve">Legislative update </w:t>
      </w:r>
    </w:p>
    <w:p w14:paraId="26EDEE44" w14:textId="77777777" w:rsidR="00AD44CB" w:rsidRPr="0092423C" w:rsidRDefault="00AD44CB" w:rsidP="00AD44CB">
      <w:pPr>
        <w:pStyle w:val="ListParagraph"/>
        <w:spacing w:line="240" w:lineRule="auto"/>
        <w:ind w:left="709"/>
        <w:jc w:val="both"/>
        <w:rPr>
          <w:rStyle w:val="fontstyle31"/>
          <w:rFonts w:ascii="Arial" w:hAnsi="Arial" w:cs="Arial"/>
          <w:b/>
          <w:u w:val="single"/>
        </w:rPr>
      </w:pPr>
    </w:p>
    <w:tbl>
      <w:tblPr>
        <w:tblW w:w="8517" w:type="dxa"/>
        <w:tblInd w:w="567" w:type="dxa"/>
        <w:tblLayout w:type="fixed"/>
        <w:tblLook w:val="04A0" w:firstRow="1" w:lastRow="0" w:firstColumn="1" w:lastColumn="0" w:noHBand="0" w:noVBand="1"/>
      </w:tblPr>
      <w:tblGrid>
        <w:gridCol w:w="1281"/>
        <w:gridCol w:w="7236"/>
      </w:tblGrid>
      <w:tr w:rsidR="00AD44CB" w:rsidRPr="0092423C" w14:paraId="366A158E" w14:textId="77777777" w:rsidTr="00C475B2">
        <w:tc>
          <w:tcPr>
            <w:tcW w:w="1281" w:type="dxa"/>
            <w:vAlign w:val="center"/>
            <w:hideMark/>
          </w:tcPr>
          <w:p w14:paraId="10DA7694" w14:textId="77777777" w:rsidR="00AD44CB" w:rsidRPr="0092423C" w:rsidRDefault="00AD44CB">
            <w:pPr>
              <w:spacing w:after="0" w:line="240" w:lineRule="auto"/>
              <w:jc w:val="both"/>
              <w:rPr>
                <w:rFonts w:eastAsia="Times New Roman"/>
                <w:lang w:eastAsia="en-GB"/>
              </w:rPr>
            </w:pPr>
            <w:r w:rsidRPr="0092423C">
              <w:rPr>
                <w:rFonts w:ascii="Arial" w:eastAsia="Times New Roman" w:hAnsi="Arial" w:cs="Arial"/>
                <w:b/>
                <w:bCs/>
                <w:lang w:eastAsia="en-GB"/>
              </w:rPr>
              <w:t xml:space="preserve">SI </w:t>
            </w:r>
          </w:p>
        </w:tc>
        <w:tc>
          <w:tcPr>
            <w:tcW w:w="7236" w:type="dxa"/>
            <w:vAlign w:val="center"/>
            <w:hideMark/>
          </w:tcPr>
          <w:p w14:paraId="2803D75F" w14:textId="77777777" w:rsidR="00AD44CB" w:rsidRPr="0092423C" w:rsidRDefault="00AD44CB">
            <w:pPr>
              <w:spacing w:after="0" w:line="240" w:lineRule="auto"/>
              <w:jc w:val="both"/>
              <w:rPr>
                <w:rFonts w:ascii="Arial" w:eastAsia="Times New Roman" w:hAnsi="Arial" w:cs="Arial"/>
                <w:lang w:eastAsia="en-GB"/>
              </w:rPr>
            </w:pPr>
            <w:r w:rsidRPr="0092423C">
              <w:rPr>
                <w:rFonts w:ascii="Arial" w:eastAsia="Times New Roman" w:hAnsi="Arial" w:cs="Arial"/>
                <w:b/>
                <w:bCs/>
                <w:lang w:eastAsia="en-GB"/>
              </w:rPr>
              <w:t>Reference title</w:t>
            </w:r>
          </w:p>
        </w:tc>
      </w:tr>
      <w:tr w:rsidR="004A7BFC" w:rsidRPr="0092423C" w14:paraId="02F69E9E" w14:textId="77777777" w:rsidTr="00C475B2">
        <w:tc>
          <w:tcPr>
            <w:tcW w:w="1281" w:type="dxa"/>
            <w:vAlign w:val="center"/>
          </w:tcPr>
          <w:p w14:paraId="0AFACFB0" w14:textId="1E4012CD" w:rsidR="004A7BFC" w:rsidRPr="0092423C" w:rsidRDefault="007E5729">
            <w:pPr>
              <w:spacing w:after="0" w:line="240" w:lineRule="auto"/>
              <w:jc w:val="both"/>
              <w:rPr>
                <w:rFonts w:ascii="Arial" w:eastAsia="Times New Roman" w:hAnsi="Arial" w:cs="Arial"/>
                <w:b/>
                <w:bCs/>
                <w:lang w:eastAsia="en-GB"/>
              </w:rPr>
            </w:pPr>
            <w:r w:rsidRPr="0092423C">
              <w:rPr>
                <w:rFonts w:ascii="Arial" w:hAnsi="Arial" w:cs="Arial"/>
              </w:rPr>
              <w:t>2020/1332</w:t>
            </w:r>
          </w:p>
        </w:tc>
        <w:tc>
          <w:tcPr>
            <w:tcW w:w="7236" w:type="dxa"/>
            <w:vAlign w:val="center"/>
          </w:tcPr>
          <w:p w14:paraId="52FE5B05" w14:textId="4719264E" w:rsidR="004A7BFC" w:rsidRPr="0092423C" w:rsidRDefault="007E5729">
            <w:pPr>
              <w:spacing w:after="0" w:line="240" w:lineRule="auto"/>
              <w:jc w:val="both"/>
              <w:rPr>
                <w:rFonts w:ascii="Arial" w:eastAsia="Times New Roman" w:hAnsi="Arial" w:cs="Arial"/>
                <w:b/>
                <w:bCs/>
                <w:lang w:eastAsia="en-GB"/>
              </w:rPr>
            </w:pPr>
            <w:r w:rsidRPr="0092423C">
              <w:rPr>
                <w:rFonts w:ascii="Arial" w:hAnsi="Arial" w:cs="Arial"/>
              </w:rPr>
              <w:t>The Occupational Pensions (Revaluation) Order 2020</w:t>
            </w:r>
          </w:p>
        </w:tc>
      </w:tr>
    </w:tbl>
    <w:p w14:paraId="32E2C709" w14:textId="76116795" w:rsidR="00AD44CB" w:rsidRPr="0092423C" w:rsidRDefault="00D83615" w:rsidP="007E5729">
      <w:pPr>
        <w:autoSpaceDE w:val="0"/>
        <w:autoSpaceDN w:val="0"/>
        <w:adjustRightInd w:val="0"/>
        <w:spacing w:after="0" w:line="240" w:lineRule="auto"/>
        <w:ind w:left="709"/>
        <w:jc w:val="both"/>
        <w:rPr>
          <w:rStyle w:val="fontstyle01"/>
          <w:rFonts w:ascii="Arial" w:hAnsi="Arial" w:cs="Arial"/>
          <w:color w:val="auto"/>
        </w:rPr>
      </w:pPr>
      <w:r w:rsidRPr="0092423C">
        <w:rPr>
          <w:rFonts w:ascii="Arial" w:hAnsi="Arial" w:cs="Arial"/>
        </w:rPr>
        <w:br/>
      </w:r>
    </w:p>
    <w:p w14:paraId="40FA80CE" w14:textId="77777777" w:rsidR="00AD44CB" w:rsidRPr="0092423C" w:rsidRDefault="00AD44CB" w:rsidP="00AD44CB">
      <w:pPr>
        <w:pStyle w:val="ListParagraph"/>
        <w:numPr>
          <w:ilvl w:val="0"/>
          <w:numId w:val="41"/>
        </w:numPr>
        <w:spacing w:after="0" w:line="240" w:lineRule="auto"/>
        <w:ind w:left="709" w:hanging="709"/>
        <w:jc w:val="both"/>
        <w:rPr>
          <w:b/>
          <w:u w:val="single"/>
        </w:rPr>
      </w:pPr>
      <w:r w:rsidRPr="0092423C">
        <w:rPr>
          <w:rStyle w:val="fontstyle31"/>
          <w:rFonts w:ascii="Arial" w:hAnsi="Arial" w:cs="Arial"/>
          <w:b/>
          <w:u w:val="single"/>
        </w:rPr>
        <w:t>Firefighters’ Pension Schemes Bulletins Summary</w:t>
      </w:r>
    </w:p>
    <w:p w14:paraId="652C4530" w14:textId="77777777" w:rsidR="00AD44CB" w:rsidRPr="0092423C" w:rsidRDefault="00AD44CB" w:rsidP="00AD44CB">
      <w:pPr>
        <w:pStyle w:val="NoSpacing"/>
        <w:ind w:left="709"/>
        <w:jc w:val="both"/>
        <w:rPr>
          <w:rStyle w:val="fontstyle01"/>
          <w:rFonts w:ascii="Arial" w:hAnsi="Arial"/>
          <w:bCs/>
        </w:rPr>
      </w:pPr>
    </w:p>
    <w:p w14:paraId="03B0BD87" w14:textId="77777777" w:rsidR="001E465F" w:rsidRPr="0092423C" w:rsidRDefault="00FF5299" w:rsidP="003C2EAB">
      <w:pPr>
        <w:pStyle w:val="NoSpacing"/>
        <w:ind w:left="709"/>
        <w:jc w:val="both"/>
        <w:rPr>
          <w:rStyle w:val="fontstyle01"/>
          <w:rFonts w:ascii="Arial" w:hAnsi="Arial" w:cs="Arial"/>
          <w:b/>
          <w:bCs/>
          <w:color w:val="auto"/>
        </w:rPr>
      </w:pPr>
      <w:r w:rsidRPr="0092423C">
        <w:rPr>
          <w:rStyle w:val="fontstyle01"/>
          <w:rFonts w:ascii="Arial" w:hAnsi="Arial" w:cs="Arial"/>
          <w:b/>
          <w:bCs/>
          <w:color w:val="auto"/>
        </w:rPr>
        <w:t>Joint statement on age discrimination remedy</w:t>
      </w:r>
    </w:p>
    <w:p w14:paraId="060DA752" w14:textId="77777777" w:rsidR="00056072" w:rsidRPr="0092423C" w:rsidRDefault="00FF5299" w:rsidP="003C2EAB">
      <w:pPr>
        <w:pStyle w:val="NoSpacing"/>
        <w:ind w:left="709"/>
        <w:jc w:val="both"/>
        <w:rPr>
          <w:rStyle w:val="fontstyle21"/>
          <w:rFonts w:ascii="Arial" w:hAnsi="Arial" w:cs="Arial"/>
          <w:color w:val="auto"/>
        </w:rPr>
      </w:pPr>
      <w:r w:rsidRPr="0092423C">
        <w:rPr>
          <w:rStyle w:val="fontstyle21"/>
          <w:rFonts w:ascii="Arial" w:hAnsi="Arial" w:cs="Arial"/>
          <w:color w:val="auto"/>
        </w:rPr>
        <w:t>Please see below a joint statement issued on 4 December 2020 by the Home Office</w:t>
      </w:r>
      <w:r w:rsidR="001E465F" w:rsidRPr="0092423C">
        <w:rPr>
          <w:rStyle w:val="fontstyle21"/>
          <w:rFonts w:ascii="Arial" w:hAnsi="Arial" w:cs="Arial"/>
          <w:color w:val="auto"/>
        </w:rPr>
        <w:t xml:space="preserve"> </w:t>
      </w:r>
      <w:r w:rsidRPr="0092423C">
        <w:rPr>
          <w:rStyle w:val="fontstyle21"/>
          <w:rFonts w:ascii="Arial" w:hAnsi="Arial" w:cs="Arial"/>
          <w:color w:val="auto"/>
        </w:rPr>
        <w:t>and LGA Bluelight team regarding public service pensions age discrimination</w:t>
      </w:r>
      <w:r w:rsidR="001E465F" w:rsidRPr="0092423C">
        <w:rPr>
          <w:rStyle w:val="fontstyle21"/>
          <w:rFonts w:ascii="Arial" w:hAnsi="Arial" w:cs="Arial"/>
          <w:color w:val="auto"/>
        </w:rPr>
        <w:t xml:space="preserve"> </w:t>
      </w:r>
      <w:r w:rsidRPr="0092423C">
        <w:rPr>
          <w:rStyle w:val="fontstyle21"/>
          <w:rFonts w:ascii="Arial" w:hAnsi="Arial" w:cs="Arial"/>
          <w:color w:val="auto"/>
        </w:rPr>
        <w:t>remedy:</w:t>
      </w:r>
    </w:p>
    <w:p w14:paraId="193A2DAB" w14:textId="77777777" w:rsidR="00056072" w:rsidRPr="0092423C" w:rsidRDefault="00056072" w:rsidP="003C2EAB">
      <w:pPr>
        <w:pStyle w:val="NoSpacing"/>
        <w:ind w:left="709"/>
        <w:jc w:val="both"/>
        <w:rPr>
          <w:rStyle w:val="fontstyle21"/>
          <w:rFonts w:ascii="Arial" w:hAnsi="Arial" w:cs="Arial"/>
          <w:color w:val="auto"/>
        </w:rPr>
      </w:pPr>
    </w:p>
    <w:p w14:paraId="378155CE" w14:textId="77777777" w:rsidR="00056072" w:rsidRPr="0092423C" w:rsidRDefault="00FF5299" w:rsidP="003C2EAB">
      <w:pPr>
        <w:pStyle w:val="NoSpacing"/>
        <w:ind w:left="709"/>
        <w:jc w:val="both"/>
        <w:rPr>
          <w:rStyle w:val="fontstyle21"/>
          <w:rFonts w:ascii="Arial" w:hAnsi="Arial" w:cs="Arial"/>
          <w:color w:val="auto"/>
        </w:rPr>
      </w:pPr>
      <w:r w:rsidRPr="0092423C">
        <w:rPr>
          <w:rStyle w:val="fontstyle21"/>
          <w:rFonts w:ascii="Arial" w:hAnsi="Arial" w:cs="Arial"/>
          <w:color w:val="auto"/>
        </w:rPr>
        <w:t>“As you are aware the Treasury’s public consultation on the Public Sector Pension</w:t>
      </w:r>
      <w:r w:rsidR="00056072" w:rsidRPr="0092423C">
        <w:rPr>
          <w:rStyle w:val="fontstyle21"/>
          <w:rFonts w:ascii="Arial" w:hAnsi="Arial" w:cs="Arial"/>
          <w:color w:val="auto"/>
        </w:rPr>
        <w:t xml:space="preserve"> </w:t>
      </w:r>
      <w:r w:rsidRPr="0092423C">
        <w:rPr>
          <w:rStyle w:val="fontstyle21"/>
          <w:rFonts w:ascii="Arial" w:hAnsi="Arial" w:cs="Arial"/>
          <w:color w:val="auto"/>
        </w:rPr>
        <w:t>remedy closed on the 11 October. This note is intended to outline next steps for</w:t>
      </w:r>
      <w:r w:rsidR="00056072" w:rsidRPr="0092423C">
        <w:rPr>
          <w:rStyle w:val="fontstyle21"/>
          <w:rFonts w:ascii="Arial" w:hAnsi="Arial" w:cs="Arial"/>
          <w:color w:val="auto"/>
        </w:rPr>
        <w:t xml:space="preserve"> </w:t>
      </w:r>
      <w:r w:rsidRPr="0092423C">
        <w:rPr>
          <w:rStyle w:val="fontstyle21"/>
          <w:rFonts w:ascii="Arial" w:hAnsi="Arial" w:cs="Arial"/>
          <w:color w:val="auto"/>
        </w:rPr>
        <w:t>delivery of the remedy.</w:t>
      </w:r>
    </w:p>
    <w:p w14:paraId="1C864D13" w14:textId="77777777" w:rsidR="00056072" w:rsidRPr="0092423C" w:rsidRDefault="00056072" w:rsidP="003C2EAB">
      <w:pPr>
        <w:pStyle w:val="NoSpacing"/>
        <w:ind w:left="709"/>
        <w:jc w:val="both"/>
        <w:rPr>
          <w:rStyle w:val="fontstyle21"/>
          <w:rFonts w:ascii="Arial" w:hAnsi="Arial" w:cs="Arial"/>
          <w:color w:val="auto"/>
        </w:rPr>
      </w:pPr>
    </w:p>
    <w:p w14:paraId="41D6B846" w14:textId="04B5EAB4" w:rsidR="00FF5299" w:rsidRPr="0092423C" w:rsidRDefault="00FF5299" w:rsidP="003C2EAB">
      <w:pPr>
        <w:pStyle w:val="NoSpacing"/>
        <w:ind w:left="709"/>
        <w:jc w:val="both"/>
        <w:rPr>
          <w:rStyle w:val="fontstyle21"/>
          <w:rFonts w:ascii="Arial" w:hAnsi="Arial" w:cs="Arial"/>
          <w:color w:val="auto"/>
        </w:rPr>
      </w:pPr>
      <w:r w:rsidRPr="0092423C">
        <w:rPr>
          <w:rStyle w:val="fontstyle21"/>
          <w:rFonts w:ascii="Arial" w:hAnsi="Arial" w:cs="Arial"/>
          <w:color w:val="auto"/>
        </w:rPr>
        <w:t>The Treasury are currently considering consultation responses and expect to publish</w:t>
      </w:r>
      <w:r w:rsidR="00056072" w:rsidRPr="0092423C">
        <w:rPr>
          <w:rStyle w:val="fontstyle21"/>
          <w:rFonts w:ascii="Arial" w:hAnsi="Arial" w:cs="Arial"/>
          <w:color w:val="auto"/>
        </w:rPr>
        <w:t xml:space="preserve"> </w:t>
      </w:r>
      <w:r w:rsidRPr="0092423C">
        <w:rPr>
          <w:rStyle w:val="fontstyle21"/>
          <w:rFonts w:ascii="Arial" w:hAnsi="Arial" w:cs="Arial"/>
          <w:color w:val="auto"/>
        </w:rPr>
        <w:t>their response to the consultation in the new year. This will outline the policy intent of</w:t>
      </w:r>
      <w:r w:rsidR="00056072" w:rsidRPr="0092423C">
        <w:rPr>
          <w:rStyle w:val="fontstyle21"/>
          <w:rFonts w:ascii="Arial" w:hAnsi="Arial" w:cs="Arial"/>
          <w:color w:val="auto"/>
        </w:rPr>
        <w:t xml:space="preserve"> </w:t>
      </w:r>
      <w:r w:rsidRPr="0092423C">
        <w:rPr>
          <w:rStyle w:val="fontstyle21"/>
          <w:rFonts w:ascii="Arial" w:hAnsi="Arial" w:cs="Arial"/>
          <w:color w:val="auto"/>
        </w:rPr>
        <w:t>the remedy, including whether immediate or deferred choice will be adopted.</w:t>
      </w:r>
    </w:p>
    <w:p w14:paraId="65683E67" w14:textId="77777777" w:rsidR="00FF5299" w:rsidRPr="0092423C" w:rsidRDefault="00FF5299" w:rsidP="003C2EAB">
      <w:pPr>
        <w:pStyle w:val="NoSpacing"/>
        <w:ind w:left="709"/>
        <w:jc w:val="both"/>
        <w:rPr>
          <w:rStyle w:val="fontstyle21"/>
          <w:rFonts w:ascii="Arial" w:hAnsi="Arial" w:cs="Arial"/>
          <w:color w:val="auto"/>
        </w:rPr>
      </w:pPr>
    </w:p>
    <w:p w14:paraId="62158280" w14:textId="77777777" w:rsidR="00CA5B69" w:rsidRPr="0092423C" w:rsidRDefault="00FF5299" w:rsidP="003C2EAB">
      <w:pPr>
        <w:pStyle w:val="NoSpacing"/>
        <w:ind w:left="709"/>
        <w:jc w:val="both"/>
        <w:rPr>
          <w:rFonts w:ascii="Arial" w:hAnsi="Arial" w:cs="Arial"/>
        </w:rPr>
      </w:pPr>
      <w:r w:rsidRPr="0092423C">
        <w:rPr>
          <w:rFonts w:ascii="Arial" w:hAnsi="Arial" w:cs="Arial"/>
        </w:rPr>
        <w:t>Changes to both primary and secondary legislation will be required to remove the</w:t>
      </w:r>
      <w:r w:rsidR="00CA5B69" w:rsidRPr="0092423C">
        <w:rPr>
          <w:rFonts w:ascii="Arial" w:hAnsi="Arial" w:cs="Arial"/>
        </w:rPr>
        <w:t xml:space="preserve"> </w:t>
      </w:r>
      <w:r w:rsidRPr="0092423C">
        <w:rPr>
          <w:rFonts w:ascii="Arial" w:hAnsi="Arial" w:cs="Arial"/>
        </w:rPr>
        <w:t>discrimination. The Home Office will need to work with the Treasury to understand</w:t>
      </w:r>
      <w:r w:rsidR="00CA5B69" w:rsidRPr="0092423C">
        <w:rPr>
          <w:rFonts w:ascii="Arial" w:hAnsi="Arial" w:cs="Arial"/>
        </w:rPr>
        <w:t xml:space="preserve"> </w:t>
      </w:r>
      <w:r w:rsidRPr="0092423C">
        <w:rPr>
          <w:rFonts w:ascii="Arial" w:hAnsi="Arial" w:cs="Arial"/>
        </w:rPr>
        <w:t>the policy and proposed legislation and to draft regulations to make the changes</w:t>
      </w:r>
      <w:r w:rsidR="00CA5B69" w:rsidRPr="0092423C">
        <w:rPr>
          <w:rFonts w:ascii="Arial" w:hAnsi="Arial" w:cs="Arial"/>
        </w:rPr>
        <w:t xml:space="preserve"> </w:t>
      </w:r>
      <w:r w:rsidRPr="0092423C">
        <w:rPr>
          <w:rFonts w:ascii="Arial" w:hAnsi="Arial" w:cs="Arial"/>
        </w:rPr>
        <w:t>required for the Fire schemes.</w:t>
      </w:r>
    </w:p>
    <w:p w14:paraId="1A06070E" w14:textId="77777777" w:rsidR="00CA5B69" w:rsidRPr="0092423C" w:rsidRDefault="00CA5B69" w:rsidP="003C2EAB">
      <w:pPr>
        <w:pStyle w:val="NoSpacing"/>
        <w:ind w:left="709"/>
        <w:jc w:val="both"/>
        <w:rPr>
          <w:rFonts w:ascii="Arial" w:hAnsi="Arial" w:cs="Arial"/>
        </w:rPr>
      </w:pPr>
    </w:p>
    <w:p w14:paraId="009228F8" w14:textId="1A58CACD" w:rsidR="00FF5299" w:rsidRPr="0092423C" w:rsidRDefault="00FF5299" w:rsidP="00457092">
      <w:pPr>
        <w:pStyle w:val="NoSpacing"/>
        <w:ind w:left="709"/>
        <w:jc w:val="both"/>
        <w:rPr>
          <w:rFonts w:ascii="Arial" w:hAnsi="Arial" w:cs="Arial"/>
        </w:rPr>
      </w:pPr>
      <w:proofErr w:type="gramStart"/>
      <w:r w:rsidRPr="0092423C">
        <w:rPr>
          <w:rFonts w:ascii="Arial" w:hAnsi="Arial" w:cs="Arial"/>
        </w:rPr>
        <w:t>In order to</w:t>
      </w:r>
      <w:proofErr w:type="gramEnd"/>
      <w:r w:rsidRPr="0092423C">
        <w:rPr>
          <w:rFonts w:ascii="Arial" w:hAnsi="Arial" w:cs="Arial"/>
        </w:rPr>
        <w:t xml:space="preserve"> deliver the remedy to the timeline set out by the Treasury, the Home</w:t>
      </w:r>
      <w:r w:rsidR="00CA5B69" w:rsidRPr="0092423C">
        <w:rPr>
          <w:rFonts w:ascii="Arial" w:hAnsi="Arial" w:cs="Arial"/>
        </w:rPr>
        <w:t xml:space="preserve"> </w:t>
      </w:r>
      <w:r w:rsidRPr="0092423C">
        <w:rPr>
          <w:rFonts w:ascii="Arial" w:hAnsi="Arial" w:cs="Arial"/>
        </w:rPr>
        <w:t>Office and the LGA Bluelight pensions team are committed to ensuring that you are</w:t>
      </w:r>
      <w:r w:rsidR="00CA5B69" w:rsidRPr="0092423C">
        <w:rPr>
          <w:rFonts w:ascii="Arial" w:hAnsi="Arial" w:cs="Arial"/>
        </w:rPr>
        <w:t xml:space="preserve"> </w:t>
      </w:r>
      <w:r w:rsidRPr="0092423C">
        <w:rPr>
          <w:rFonts w:ascii="Arial" w:hAnsi="Arial" w:cs="Arial"/>
        </w:rPr>
        <w:t>fully up to speed with all policy and regulation developments so that work can</w:t>
      </w:r>
      <w:r w:rsidR="00CA5B69" w:rsidRPr="0092423C">
        <w:rPr>
          <w:rFonts w:ascii="Arial" w:hAnsi="Arial" w:cs="Arial"/>
        </w:rPr>
        <w:t xml:space="preserve"> </w:t>
      </w:r>
      <w:r w:rsidRPr="0092423C">
        <w:rPr>
          <w:rFonts w:ascii="Arial" w:hAnsi="Arial" w:cs="Arial"/>
        </w:rPr>
        <w:t>progress at pace. It will be essential that Fire and Rescue Authorities start the</w:t>
      </w:r>
      <w:r w:rsidR="00CA5B69" w:rsidRPr="0092423C">
        <w:rPr>
          <w:rFonts w:ascii="Arial" w:hAnsi="Arial" w:cs="Arial"/>
        </w:rPr>
        <w:t xml:space="preserve"> </w:t>
      </w:r>
      <w:r w:rsidRPr="0092423C">
        <w:rPr>
          <w:rFonts w:ascii="Arial" w:hAnsi="Arial" w:cs="Arial"/>
        </w:rPr>
        <w:t>process of considering what technology/administration processes will be required to</w:t>
      </w:r>
      <w:r w:rsidR="00CA5B69" w:rsidRPr="0092423C">
        <w:rPr>
          <w:rFonts w:ascii="Arial" w:hAnsi="Arial" w:cs="Arial"/>
        </w:rPr>
        <w:t xml:space="preserve"> </w:t>
      </w:r>
      <w:r w:rsidRPr="0092423C">
        <w:rPr>
          <w:rFonts w:ascii="Arial" w:hAnsi="Arial" w:cs="Arial"/>
        </w:rPr>
        <w:t>implement the remedy, including what data should be retained, at the earliest</w:t>
      </w:r>
      <w:r w:rsidR="00CA5B69" w:rsidRPr="0092423C">
        <w:rPr>
          <w:rFonts w:ascii="Arial" w:hAnsi="Arial" w:cs="Arial"/>
        </w:rPr>
        <w:t xml:space="preserve"> </w:t>
      </w:r>
      <w:r w:rsidRPr="0092423C">
        <w:rPr>
          <w:rFonts w:ascii="Arial" w:hAnsi="Arial" w:cs="Arial"/>
        </w:rPr>
        <w:t xml:space="preserve">opportunity and we will be </w:t>
      </w:r>
      <w:r w:rsidRPr="0092423C">
        <w:rPr>
          <w:rFonts w:ascii="Arial" w:hAnsi="Arial" w:cs="Arial"/>
        </w:rPr>
        <w:lastRenderedPageBreak/>
        <w:t>engaging with you further to understand your</w:t>
      </w:r>
      <w:r w:rsidR="00CA5B69" w:rsidRPr="0092423C">
        <w:rPr>
          <w:rFonts w:ascii="Arial" w:hAnsi="Arial" w:cs="Arial"/>
        </w:rPr>
        <w:t xml:space="preserve"> </w:t>
      </w:r>
      <w:r w:rsidRPr="0092423C">
        <w:rPr>
          <w:rFonts w:ascii="Arial" w:hAnsi="Arial" w:cs="Arial"/>
        </w:rPr>
        <w:t>dependencies and any challenges you will face.</w:t>
      </w:r>
      <w:r w:rsidR="00C409E5" w:rsidRPr="0092423C">
        <w:rPr>
          <w:rFonts w:ascii="Arial" w:hAnsi="Arial" w:cs="Arial"/>
        </w:rPr>
        <w:t>”</w:t>
      </w:r>
    </w:p>
    <w:p w14:paraId="3C98F216" w14:textId="77777777" w:rsidR="00E145AA" w:rsidRPr="0092423C" w:rsidRDefault="00E145AA" w:rsidP="00BD36BF">
      <w:pPr>
        <w:pStyle w:val="NoSpacing"/>
        <w:ind w:left="709"/>
        <w:jc w:val="both"/>
        <w:rPr>
          <w:rStyle w:val="fontstyle01"/>
          <w:rFonts w:ascii="Arial" w:hAnsi="Arial" w:cs="Arial"/>
          <w:b/>
          <w:bCs/>
          <w:color w:val="auto"/>
        </w:rPr>
      </w:pPr>
    </w:p>
    <w:p w14:paraId="17B12D31" w14:textId="481A8624" w:rsidR="00CA5B69" w:rsidRPr="0092423C" w:rsidRDefault="00FF5299" w:rsidP="00BD36BF">
      <w:pPr>
        <w:pStyle w:val="NoSpacing"/>
        <w:ind w:left="709"/>
        <w:jc w:val="both"/>
        <w:rPr>
          <w:rStyle w:val="fontstyle01"/>
          <w:rFonts w:ascii="Arial" w:hAnsi="Arial" w:cs="Arial"/>
          <w:b/>
          <w:bCs/>
          <w:color w:val="auto"/>
        </w:rPr>
      </w:pPr>
      <w:r w:rsidRPr="0092423C">
        <w:rPr>
          <w:rStyle w:val="fontstyle01"/>
          <w:rFonts w:ascii="Arial" w:hAnsi="Arial" w:cs="Arial"/>
          <w:b/>
          <w:bCs/>
          <w:color w:val="auto"/>
        </w:rPr>
        <w:t>Firefighters’ Compensation Scheme</w:t>
      </w:r>
    </w:p>
    <w:p w14:paraId="7D86792E" w14:textId="77777777" w:rsidR="008B62DA" w:rsidRPr="0092423C" w:rsidRDefault="00FF5299" w:rsidP="00BD36BF">
      <w:pPr>
        <w:pStyle w:val="NoSpacing"/>
        <w:ind w:left="709"/>
        <w:jc w:val="both"/>
        <w:rPr>
          <w:rStyle w:val="fontstyle21"/>
          <w:rFonts w:ascii="Arial" w:hAnsi="Arial" w:cs="Arial"/>
          <w:color w:val="auto"/>
        </w:rPr>
      </w:pPr>
      <w:r w:rsidRPr="0092423C">
        <w:rPr>
          <w:rStyle w:val="fontstyle21"/>
          <w:rFonts w:ascii="Arial" w:hAnsi="Arial" w:cs="Arial"/>
          <w:color w:val="auto"/>
        </w:rPr>
        <w:t>In FPS Bulletin 39 - November 2020 we commented on identifying a qualifying injury.</w:t>
      </w:r>
      <w:r w:rsidR="008B62DA" w:rsidRPr="0092423C">
        <w:rPr>
          <w:rStyle w:val="fontstyle21"/>
          <w:rFonts w:ascii="Arial" w:hAnsi="Arial" w:cs="Arial"/>
          <w:color w:val="auto"/>
        </w:rPr>
        <w:t xml:space="preserve"> </w:t>
      </w:r>
      <w:r w:rsidRPr="0092423C">
        <w:rPr>
          <w:rStyle w:val="fontstyle21"/>
          <w:rFonts w:ascii="Arial" w:hAnsi="Arial" w:cs="Arial"/>
          <w:color w:val="auto"/>
        </w:rPr>
        <w:t>We have received further requests regarding the FRA’s position on the</w:t>
      </w:r>
      <w:r w:rsidR="008B62DA" w:rsidRPr="0092423C">
        <w:rPr>
          <w:rStyle w:val="fontstyle21"/>
          <w:rFonts w:ascii="Arial" w:hAnsi="Arial" w:cs="Arial"/>
          <w:color w:val="auto"/>
        </w:rPr>
        <w:t xml:space="preserve"> </w:t>
      </w:r>
      <w:r w:rsidRPr="0092423C">
        <w:rPr>
          <w:rStyle w:val="fontstyle21"/>
          <w:rFonts w:ascii="Arial" w:hAnsi="Arial" w:cs="Arial"/>
          <w:color w:val="auto"/>
        </w:rPr>
        <w:t>compensation scheme, and we offer the following points that may assist when</w:t>
      </w:r>
      <w:r w:rsidR="008B62DA" w:rsidRPr="0092423C">
        <w:rPr>
          <w:rStyle w:val="fontstyle21"/>
          <w:rFonts w:ascii="Arial" w:hAnsi="Arial" w:cs="Arial"/>
          <w:color w:val="auto"/>
        </w:rPr>
        <w:t xml:space="preserve"> </w:t>
      </w:r>
      <w:r w:rsidRPr="0092423C">
        <w:rPr>
          <w:rStyle w:val="fontstyle21"/>
          <w:rFonts w:ascii="Arial" w:hAnsi="Arial" w:cs="Arial"/>
          <w:color w:val="auto"/>
        </w:rPr>
        <w:t>making determinations under the compensation scheme:</w:t>
      </w:r>
    </w:p>
    <w:p w14:paraId="00F545BA" w14:textId="77777777" w:rsidR="008B62DA" w:rsidRPr="0092423C" w:rsidRDefault="008B62DA" w:rsidP="00BD36BF">
      <w:pPr>
        <w:pStyle w:val="NoSpacing"/>
        <w:ind w:left="709"/>
        <w:jc w:val="both"/>
        <w:rPr>
          <w:rStyle w:val="fontstyle21"/>
          <w:rFonts w:ascii="Arial" w:hAnsi="Arial" w:cs="Arial"/>
          <w:color w:val="auto"/>
        </w:rPr>
      </w:pPr>
    </w:p>
    <w:p w14:paraId="2B708E39" w14:textId="6F06A3DE" w:rsidR="005B168D" w:rsidRPr="0092423C" w:rsidRDefault="00FF5299" w:rsidP="00982036">
      <w:pPr>
        <w:pStyle w:val="NoSpacing"/>
        <w:numPr>
          <w:ilvl w:val="0"/>
          <w:numId w:val="46"/>
        </w:numPr>
        <w:jc w:val="both"/>
        <w:rPr>
          <w:rStyle w:val="fontstyle21"/>
          <w:rFonts w:ascii="Arial" w:hAnsi="Arial" w:cs="Arial"/>
          <w:color w:val="auto"/>
        </w:rPr>
      </w:pPr>
      <w:r w:rsidRPr="0092423C">
        <w:rPr>
          <w:rStyle w:val="fontstyle21"/>
          <w:rFonts w:ascii="Arial" w:hAnsi="Arial" w:cs="Arial"/>
          <w:color w:val="auto"/>
        </w:rPr>
        <w:t>The compensation scheme is the responsibility of the employing FRA,</w:t>
      </w:r>
      <w:r w:rsidR="008B62DA" w:rsidRPr="0092423C">
        <w:rPr>
          <w:rStyle w:val="fontstyle21"/>
          <w:rFonts w:ascii="Arial" w:hAnsi="Arial" w:cs="Arial"/>
          <w:color w:val="auto"/>
        </w:rPr>
        <w:t xml:space="preserve"> </w:t>
      </w:r>
      <w:r w:rsidRPr="0092423C">
        <w:rPr>
          <w:rStyle w:val="fontstyle21"/>
          <w:rFonts w:ascii="Arial" w:hAnsi="Arial" w:cs="Arial"/>
          <w:color w:val="auto"/>
        </w:rPr>
        <w:t>payments from the scheme are paid from the Fire and Rescue operating</w:t>
      </w:r>
      <w:r w:rsidR="008B62DA" w:rsidRPr="0092423C">
        <w:rPr>
          <w:rStyle w:val="fontstyle21"/>
          <w:rFonts w:ascii="Arial" w:hAnsi="Arial" w:cs="Arial"/>
          <w:color w:val="auto"/>
        </w:rPr>
        <w:t xml:space="preserve"> </w:t>
      </w:r>
      <w:r w:rsidRPr="0092423C">
        <w:rPr>
          <w:rStyle w:val="fontstyle21"/>
          <w:rFonts w:ascii="Arial" w:hAnsi="Arial" w:cs="Arial"/>
          <w:color w:val="auto"/>
        </w:rPr>
        <w:t>account, not the notional pension account topped up by Government as per</w:t>
      </w:r>
      <w:r w:rsidR="008B62DA" w:rsidRPr="0092423C">
        <w:rPr>
          <w:rStyle w:val="fontstyle21"/>
          <w:rFonts w:ascii="Arial" w:hAnsi="Arial" w:cs="Arial"/>
          <w:color w:val="auto"/>
        </w:rPr>
        <w:t xml:space="preserve"> </w:t>
      </w:r>
      <w:r w:rsidRPr="0092423C">
        <w:rPr>
          <w:rStyle w:val="fontstyle21"/>
          <w:rFonts w:ascii="Arial" w:hAnsi="Arial" w:cs="Arial"/>
          <w:color w:val="auto"/>
        </w:rPr>
        <w:t>paragraphs 3.23 to 3.29 of the finance guidance.</w:t>
      </w:r>
    </w:p>
    <w:p w14:paraId="42FDAD20" w14:textId="076A6680" w:rsidR="005B168D" w:rsidRPr="0092423C" w:rsidRDefault="00FF5299" w:rsidP="00982036">
      <w:pPr>
        <w:pStyle w:val="NoSpacing"/>
        <w:numPr>
          <w:ilvl w:val="0"/>
          <w:numId w:val="46"/>
        </w:numPr>
        <w:jc w:val="both"/>
        <w:rPr>
          <w:rStyle w:val="fontstyle21"/>
          <w:rFonts w:ascii="Arial" w:hAnsi="Arial" w:cs="Arial"/>
          <w:color w:val="auto"/>
        </w:rPr>
      </w:pPr>
      <w:r w:rsidRPr="0092423C">
        <w:rPr>
          <w:rStyle w:val="fontstyle21"/>
          <w:rFonts w:ascii="Arial" w:hAnsi="Arial" w:cs="Arial"/>
          <w:color w:val="auto"/>
        </w:rPr>
        <w:t>There have only been minor amendments to the compensation scheme rules</w:t>
      </w:r>
      <w:r w:rsidR="005B168D" w:rsidRPr="0092423C">
        <w:rPr>
          <w:rStyle w:val="fontstyle21"/>
          <w:rFonts w:ascii="Arial" w:hAnsi="Arial" w:cs="Arial"/>
          <w:color w:val="auto"/>
        </w:rPr>
        <w:t xml:space="preserve"> </w:t>
      </w:r>
      <w:r w:rsidRPr="0092423C">
        <w:rPr>
          <w:rStyle w:val="fontstyle21"/>
          <w:rFonts w:ascii="Arial" w:hAnsi="Arial" w:cs="Arial"/>
          <w:color w:val="auto"/>
        </w:rPr>
        <w:t>since 2006.</w:t>
      </w:r>
    </w:p>
    <w:p w14:paraId="00BAB122" w14:textId="18345EE0" w:rsidR="00FE31AC" w:rsidRPr="0092423C" w:rsidRDefault="00FF5299" w:rsidP="00982036">
      <w:pPr>
        <w:pStyle w:val="NoSpacing"/>
        <w:numPr>
          <w:ilvl w:val="0"/>
          <w:numId w:val="46"/>
        </w:numPr>
        <w:jc w:val="both"/>
        <w:rPr>
          <w:rStyle w:val="fontstyle21"/>
          <w:rFonts w:ascii="Arial" w:hAnsi="Arial" w:cs="Arial"/>
          <w:color w:val="auto"/>
        </w:rPr>
      </w:pPr>
      <w:r w:rsidRPr="0092423C">
        <w:rPr>
          <w:rStyle w:val="fontstyle21"/>
          <w:rFonts w:ascii="Arial" w:hAnsi="Arial" w:cs="Arial"/>
          <w:color w:val="auto"/>
        </w:rPr>
        <w:t>The entitlement to an injury award under the compensation scheme occurs if</w:t>
      </w:r>
      <w:r w:rsidR="00FE31AC" w:rsidRPr="0092423C">
        <w:rPr>
          <w:rStyle w:val="fontstyle21"/>
          <w:rFonts w:ascii="Arial" w:hAnsi="Arial" w:cs="Arial"/>
          <w:color w:val="auto"/>
        </w:rPr>
        <w:t xml:space="preserve"> </w:t>
      </w:r>
      <w:r w:rsidRPr="0092423C">
        <w:rPr>
          <w:rStyle w:val="fontstyle21"/>
          <w:rFonts w:ascii="Arial" w:hAnsi="Arial" w:cs="Arial"/>
          <w:color w:val="auto"/>
        </w:rPr>
        <w:t>the infirmity is occasioned by a ‘qualifying injury’ [Part 2, Rule 1, sub para 1]</w:t>
      </w:r>
      <w:r w:rsidR="00FE31AC" w:rsidRPr="0092423C">
        <w:rPr>
          <w:rStyle w:val="fontstyle21"/>
          <w:rFonts w:ascii="Arial" w:hAnsi="Arial" w:cs="Arial"/>
          <w:color w:val="auto"/>
        </w:rPr>
        <w:t xml:space="preserve"> </w:t>
      </w:r>
    </w:p>
    <w:p w14:paraId="023A58FC" w14:textId="7946F5E9" w:rsidR="00FF5299" w:rsidRPr="0092423C" w:rsidRDefault="00FF5299" w:rsidP="00982036">
      <w:pPr>
        <w:pStyle w:val="NoSpacing"/>
        <w:numPr>
          <w:ilvl w:val="0"/>
          <w:numId w:val="46"/>
        </w:numPr>
        <w:jc w:val="both"/>
        <w:rPr>
          <w:rStyle w:val="fontstyle21"/>
          <w:rFonts w:ascii="Arial" w:hAnsi="Arial" w:cs="Arial"/>
          <w:color w:val="auto"/>
        </w:rPr>
      </w:pPr>
      <w:r w:rsidRPr="0092423C">
        <w:rPr>
          <w:rStyle w:val="fontstyle21"/>
          <w:rFonts w:ascii="Arial" w:hAnsi="Arial" w:cs="Arial"/>
          <w:color w:val="auto"/>
        </w:rPr>
        <w:t xml:space="preserve">‘Qualifying Injury’ in defined in Part </w:t>
      </w:r>
      <w:proofErr w:type="gramStart"/>
      <w:r w:rsidRPr="0092423C">
        <w:rPr>
          <w:rStyle w:val="fontstyle21"/>
          <w:rFonts w:ascii="Arial" w:hAnsi="Arial" w:cs="Arial"/>
          <w:color w:val="auto"/>
        </w:rPr>
        <w:t>1,Rule</w:t>
      </w:r>
      <w:proofErr w:type="gramEnd"/>
      <w:r w:rsidRPr="0092423C">
        <w:rPr>
          <w:rStyle w:val="fontstyle21"/>
          <w:rFonts w:ascii="Arial" w:hAnsi="Arial" w:cs="Arial"/>
          <w:color w:val="auto"/>
        </w:rPr>
        <w:t xml:space="preserve"> 7. There has only been a minor</w:t>
      </w:r>
      <w:r w:rsidR="00FE31AC" w:rsidRPr="0092423C">
        <w:rPr>
          <w:rStyle w:val="fontstyle21"/>
          <w:rFonts w:ascii="Arial" w:hAnsi="Arial" w:cs="Arial"/>
          <w:color w:val="auto"/>
        </w:rPr>
        <w:t xml:space="preserve"> </w:t>
      </w:r>
      <w:r w:rsidRPr="0092423C">
        <w:rPr>
          <w:rStyle w:val="fontstyle21"/>
          <w:rFonts w:ascii="Arial" w:hAnsi="Arial" w:cs="Arial"/>
          <w:color w:val="auto"/>
        </w:rPr>
        <w:t>amendment to this rule by SI 2014/447 which substituted ‘regular firefighter’</w:t>
      </w:r>
      <w:r w:rsidR="00FE31AC" w:rsidRPr="0092423C">
        <w:rPr>
          <w:rStyle w:val="fontstyle21"/>
          <w:rFonts w:ascii="Arial" w:hAnsi="Arial" w:cs="Arial"/>
          <w:color w:val="auto"/>
        </w:rPr>
        <w:t xml:space="preserve"> </w:t>
      </w:r>
      <w:r w:rsidRPr="0092423C">
        <w:rPr>
          <w:rStyle w:val="fontstyle21"/>
          <w:rFonts w:ascii="Arial" w:hAnsi="Arial" w:cs="Arial"/>
          <w:color w:val="auto"/>
        </w:rPr>
        <w:t>for ‘regular or retained firefighter’ “references in this Scheme to a qualifying</w:t>
      </w:r>
      <w:r w:rsidR="00213453" w:rsidRPr="0092423C">
        <w:rPr>
          <w:rStyle w:val="fontstyle21"/>
          <w:rFonts w:ascii="Arial" w:hAnsi="Arial" w:cs="Arial"/>
          <w:color w:val="auto"/>
        </w:rPr>
        <w:t xml:space="preserve"> </w:t>
      </w:r>
      <w:r w:rsidRPr="0092423C">
        <w:rPr>
          <w:rStyle w:val="fontstyle21"/>
          <w:rFonts w:ascii="Arial" w:hAnsi="Arial" w:cs="Arial"/>
          <w:color w:val="auto"/>
        </w:rPr>
        <w:t>injury are references to an injury received by a person, without his own</w:t>
      </w:r>
      <w:r w:rsidR="00213453" w:rsidRPr="0092423C">
        <w:rPr>
          <w:rStyle w:val="fontstyle21"/>
          <w:rFonts w:ascii="Arial" w:hAnsi="Arial" w:cs="Arial"/>
          <w:color w:val="auto"/>
        </w:rPr>
        <w:t xml:space="preserve"> </w:t>
      </w:r>
      <w:r w:rsidRPr="0092423C">
        <w:rPr>
          <w:rStyle w:val="fontstyle21"/>
          <w:rFonts w:ascii="Arial" w:hAnsi="Arial" w:cs="Arial"/>
          <w:color w:val="auto"/>
        </w:rPr>
        <w:t xml:space="preserve">default, </w:t>
      </w:r>
      <w:r w:rsidRPr="0092423C">
        <w:rPr>
          <w:rStyle w:val="fontstyle01"/>
          <w:rFonts w:ascii="Arial" w:hAnsi="Arial" w:cs="Arial"/>
          <w:color w:val="auto"/>
        </w:rPr>
        <w:t>in the exercise of his duties as a regular or retained firefighter</w:t>
      </w:r>
      <w:r w:rsidRPr="0092423C">
        <w:rPr>
          <w:rStyle w:val="fontstyle21"/>
          <w:rFonts w:ascii="Arial" w:hAnsi="Arial" w:cs="Arial"/>
          <w:color w:val="auto"/>
        </w:rPr>
        <w:t>.”</w:t>
      </w:r>
    </w:p>
    <w:p w14:paraId="5A7363C0" w14:textId="4A4B2225" w:rsidR="00E33E57" w:rsidRPr="0092423C" w:rsidRDefault="00FF5299" w:rsidP="00982036">
      <w:pPr>
        <w:pStyle w:val="NoSpacing"/>
        <w:numPr>
          <w:ilvl w:val="0"/>
          <w:numId w:val="46"/>
        </w:numPr>
        <w:jc w:val="both"/>
        <w:rPr>
          <w:rFonts w:ascii="Arial" w:hAnsi="Arial" w:cs="Arial"/>
        </w:rPr>
      </w:pPr>
      <w:r w:rsidRPr="0092423C">
        <w:rPr>
          <w:rFonts w:ascii="Arial" w:hAnsi="Arial" w:cs="Arial"/>
        </w:rPr>
        <w:t>Regular firefighter is defined in the interpretations as</w:t>
      </w:r>
      <w:r w:rsidR="00E33E57" w:rsidRPr="0092423C">
        <w:rPr>
          <w:rFonts w:ascii="Arial" w:hAnsi="Arial" w:cs="Arial"/>
        </w:rPr>
        <w:t xml:space="preserve"> </w:t>
      </w:r>
      <w:r w:rsidRPr="0092423C">
        <w:rPr>
          <w:rFonts w:ascii="Arial" w:hAnsi="Arial" w:cs="Arial"/>
        </w:rPr>
        <w:t>“regular firefighter” means—</w:t>
      </w:r>
    </w:p>
    <w:p w14:paraId="28F1B0FA" w14:textId="69C659A8" w:rsidR="0077221F" w:rsidRPr="0092423C" w:rsidRDefault="00FF5299" w:rsidP="00271DEA">
      <w:pPr>
        <w:pStyle w:val="NoSpacing"/>
        <w:tabs>
          <w:tab w:val="left" w:pos="1985"/>
        </w:tabs>
        <w:ind w:left="1560"/>
        <w:jc w:val="both"/>
        <w:rPr>
          <w:rFonts w:ascii="Arial" w:hAnsi="Arial" w:cs="Arial"/>
        </w:rPr>
      </w:pPr>
      <w:r w:rsidRPr="0092423C">
        <w:rPr>
          <w:rFonts w:ascii="Arial" w:hAnsi="Arial" w:cs="Arial"/>
        </w:rPr>
        <w:t>(a)</w:t>
      </w:r>
      <w:r w:rsidR="00962E07" w:rsidRPr="0092423C">
        <w:rPr>
          <w:rFonts w:ascii="Arial" w:hAnsi="Arial" w:cs="Arial"/>
        </w:rPr>
        <w:tab/>
      </w:r>
      <w:r w:rsidRPr="0092423C">
        <w:rPr>
          <w:rFonts w:ascii="Arial" w:hAnsi="Arial" w:cs="Arial"/>
        </w:rPr>
        <w:t>a person who is employed—</w:t>
      </w:r>
      <w:r w:rsidR="00E33E57" w:rsidRPr="0092423C">
        <w:rPr>
          <w:rFonts w:ascii="Arial" w:hAnsi="Arial" w:cs="Arial"/>
        </w:rPr>
        <w:t xml:space="preserve"> </w:t>
      </w:r>
    </w:p>
    <w:p w14:paraId="57541856" w14:textId="3A7DD0FF" w:rsidR="0077221F" w:rsidRPr="0092423C" w:rsidRDefault="00FF5299" w:rsidP="00271DEA">
      <w:pPr>
        <w:pStyle w:val="NoSpacing"/>
        <w:tabs>
          <w:tab w:val="left" w:pos="1985"/>
        </w:tabs>
        <w:ind w:left="1560"/>
        <w:jc w:val="both"/>
        <w:rPr>
          <w:rFonts w:ascii="Arial" w:hAnsi="Arial" w:cs="Arial"/>
        </w:rPr>
      </w:pPr>
      <w:r w:rsidRPr="0092423C">
        <w:rPr>
          <w:rFonts w:ascii="Arial" w:hAnsi="Arial" w:cs="Arial"/>
        </w:rPr>
        <w:t>(</w:t>
      </w:r>
      <w:proofErr w:type="spellStart"/>
      <w:r w:rsidRPr="0092423C">
        <w:rPr>
          <w:rFonts w:ascii="Arial" w:hAnsi="Arial" w:cs="Arial"/>
        </w:rPr>
        <w:t>i</w:t>
      </w:r>
      <w:proofErr w:type="spellEnd"/>
      <w:r w:rsidRPr="0092423C">
        <w:rPr>
          <w:rFonts w:ascii="Arial" w:hAnsi="Arial" w:cs="Arial"/>
        </w:rPr>
        <w:t>)</w:t>
      </w:r>
      <w:r w:rsidR="0077221F" w:rsidRPr="0092423C">
        <w:rPr>
          <w:rFonts w:ascii="Arial" w:hAnsi="Arial" w:cs="Arial"/>
        </w:rPr>
        <w:t xml:space="preserve"> </w:t>
      </w:r>
      <w:r w:rsidR="00AB2EF7" w:rsidRPr="0092423C">
        <w:rPr>
          <w:rFonts w:ascii="Arial" w:hAnsi="Arial" w:cs="Arial"/>
        </w:rPr>
        <w:tab/>
      </w:r>
      <w:r w:rsidRPr="0092423C">
        <w:rPr>
          <w:rFonts w:ascii="Arial" w:hAnsi="Arial" w:cs="Arial"/>
        </w:rPr>
        <w:t>by a fire and rescue authority as a firefighter (whether whole-time or</w:t>
      </w:r>
      <w:r w:rsidR="00E33E57" w:rsidRPr="0092423C">
        <w:rPr>
          <w:rFonts w:ascii="Arial" w:hAnsi="Arial" w:cs="Arial"/>
        </w:rPr>
        <w:t xml:space="preserve"> </w:t>
      </w:r>
      <w:r w:rsidRPr="0092423C">
        <w:rPr>
          <w:rFonts w:ascii="Arial" w:hAnsi="Arial" w:cs="Arial"/>
        </w:rPr>
        <w:t>part-</w:t>
      </w:r>
      <w:r w:rsidR="00271DEA" w:rsidRPr="0092423C">
        <w:rPr>
          <w:rFonts w:ascii="Arial" w:hAnsi="Arial" w:cs="Arial"/>
        </w:rPr>
        <w:tab/>
      </w:r>
      <w:r w:rsidRPr="0092423C">
        <w:rPr>
          <w:rFonts w:ascii="Arial" w:hAnsi="Arial" w:cs="Arial"/>
        </w:rPr>
        <w:t>time), other than as a retained or volunteer firefighter; and</w:t>
      </w:r>
      <w:r w:rsidR="005D481C" w:rsidRPr="0092423C">
        <w:rPr>
          <w:rFonts w:ascii="Arial" w:hAnsi="Arial" w:cs="Arial"/>
        </w:rPr>
        <w:t xml:space="preserve"> </w:t>
      </w:r>
    </w:p>
    <w:p w14:paraId="18F45858" w14:textId="20F34C27" w:rsidR="005D481C" w:rsidRPr="0092423C" w:rsidRDefault="00FF5299" w:rsidP="00271DEA">
      <w:pPr>
        <w:pStyle w:val="NoSpacing"/>
        <w:tabs>
          <w:tab w:val="left" w:pos="1985"/>
        </w:tabs>
        <w:ind w:left="1980" w:hanging="420"/>
        <w:jc w:val="both"/>
        <w:rPr>
          <w:rFonts w:ascii="Arial" w:hAnsi="Arial" w:cs="Arial"/>
        </w:rPr>
      </w:pPr>
      <w:r w:rsidRPr="0092423C">
        <w:rPr>
          <w:rFonts w:ascii="Arial" w:hAnsi="Arial" w:cs="Arial"/>
        </w:rPr>
        <w:t>(ii)</w:t>
      </w:r>
      <w:r w:rsidR="00AB2EF7" w:rsidRPr="0092423C">
        <w:rPr>
          <w:rFonts w:ascii="Arial" w:hAnsi="Arial" w:cs="Arial"/>
        </w:rPr>
        <w:tab/>
      </w:r>
      <w:r w:rsidRPr="0092423C">
        <w:rPr>
          <w:rFonts w:ascii="Arial" w:hAnsi="Arial" w:cs="Arial"/>
        </w:rPr>
        <w:t>on terms under which he is, or may be, required to engage in firefighting or, without a break in continuity of such employment, may be</w:t>
      </w:r>
      <w:r w:rsidR="005D481C" w:rsidRPr="0092423C">
        <w:rPr>
          <w:rFonts w:ascii="Arial" w:hAnsi="Arial" w:cs="Arial"/>
        </w:rPr>
        <w:t xml:space="preserve"> </w:t>
      </w:r>
      <w:r w:rsidRPr="0092423C">
        <w:rPr>
          <w:rFonts w:ascii="Arial" w:hAnsi="Arial" w:cs="Arial"/>
        </w:rPr>
        <w:t>required to perform other duties appropriate to his role as a firefighter</w:t>
      </w:r>
      <w:r w:rsidR="005D481C" w:rsidRPr="0092423C">
        <w:rPr>
          <w:rFonts w:ascii="Arial" w:hAnsi="Arial" w:cs="Arial"/>
        </w:rPr>
        <w:t xml:space="preserve"> </w:t>
      </w:r>
      <w:r w:rsidRPr="0092423C">
        <w:rPr>
          <w:rFonts w:ascii="Arial" w:hAnsi="Arial" w:cs="Arial"/>
        </w:rPr>
        <w:t xml:space="preserve">(whether instead of, or in addition to, engaging in </w:t>
      </w:r>
      <w:proofErr w:type="gramStart"/>
      <w:r w:rsidRPr="0092423C">
        <w:rPr>
          <w:rFonts w:ascii="Arial" w:hAnsi="Arial" w:cs="Arial"/>
        </w:rPr>
        <w:t>fire-fighting</w:t>
      </w:r>
      <w:proofErr w:type="gramEnd"/>
      <w:r w:rsidRPr="0092423C">
        <w:rPr>
          <w:rFonts w:ascii="Arial" w:hAnsi="Arial" w:cs="Arial"/>
        </w:rPr>
        <w:t>) and whose</w:t>
      </w:r>
      <w:r w:rsidR="005D481C" w:rsidRPr="0092423C">
        <w:rPr>
          <w:rFonts w:ascii="Arial" w:hAnsi="Arial" w:cs="Arial"/>
        </w:rPr>
        <w:t xml:space="preserve"> </w:t>
      </w:r>
      <w:r w:rsidRPr="0092423C">
        <w:rPr>
          <w:rFonts w:ascii="Arial" w:hAnsi="Arial" w:cs="Arial"/>
        </w:rPr>
        <w:t>employment is not temporary;</w:t>
      </w:r>
    </w:p>
    <w:p w14:paraId="39B73085" w14:textId="0AC97A16" w:rsidR="005D481C" w:rsidRPr="0092423C" w:rsidRDefault="00FF5299" w:rsidP="00271DEA">
      <w:pPr>
        <w:pStyle w:val="NoSpacing"/>
        <w:tabs>
          <w:tab w:val="left" w:pos="1985"/>
        </w:tabs>
        <w:ind w:left="1980" w:hanging="420"/>
        <w:jc w:val="both"/>
        <w:rPr>
          <w:rFonts w:ascii="Arial" w:hAnsi="Arial" w:cs="Arial"/>
        </w:rPr>
      </w:pPr>
      <w:r w:rsidRPr="0092423C">
        <w:rPr>
          <w:rFonts w:ascii="Arial" w:hAnsi="Arial" w:cs="Arial"/>
        </w:rPr>
        <w:t>(b)</w:t>
      </w:r>
      <w:r w:rsidR="00AB2EF7" w:rsidRPr="0092423C">
        <w:rPr>
          <w:rFonts w:ascii="Arial" w:hAnsi="Arial" w:cs="Arial"/>
        </w:rPr>
        <w:tab/>
      </w:r>
      <w:r w:rsidRPr="0092423C">
        <w:rPr>
          <w:rFonts w:ascii="Arial" w:hAnsi="Arial" w:cs="Arial"/>
        </w:rPr>
        <w:t>a person who holds office as the London Fire Commissioner where the</w:t>
      </w:r>
      <w:r w:rsidR="005D481C" w:rsidRPr="0092423C">
        <w:rPr>
          <w:rFonts w:ascii="Arial" w:hAnsi="Arial" w:cs="Arial"/>
        </w:rPr>
        <w:t xml:space="preserve"> </w:t>
      </w:r>
      <w:r w:rsidRPr="0092423C">
        <w:rPr>
          <w:rFonts w:ascii="Arial" w:hAnsi="Arial" w:cs="Arial"/>
        </w:rPr>
        <w:t>terms and conditions of appointment to that office include—</w:t>
      </w:r>
      <w:r w:rsidR="005D481C" w:rsidRPr="0092423C">
        <w:rPr>
          <w:rFonts w:ascii="Arial" w:hAnsi="Arial" w:cs="Arial"/>
        </w:rPr>
        <w:t xml:space="preserve"> </w:t>
      </w:r>
    </w:p>
    <w:p w14:paraId="0F6239ED" w14:textId="07C7A92C" w:rsidR="007F735F" w:rsidRPr="0092423C" w:rsidRDefault="00FF5299" w:rsidP="00271DEA">
      <w:pPr>
        <w:pStyle w:val="NoSpacing"/>
        <w:tabs>
          <w:tab w:val="left" w:pos="1985"/>
        </w:tabs>
        <w:ind w:left="1560"/>
        <w:jc w:val="both"/>
        <w:rPr>
          <w:rFonts w:ascii="Arial" w:hAnsi="Arial" w:cs="Arial"/>
        </w:rPr>
      </w:pPr>
      <w:r w:rsidRPr="0092423C">
        <w:rPr>
          <w:rFonts w:ascii="Arial" w:hAnsi="Arial" w:cs="Arial"/>
        </w:rPr>
        <w:t>(</w:t>
      </w:r>
      <w:proofErr w:type="spellStart"/>
      <w:r w:rsidRPr="0092423C">
        <w:rPr>
          <w:rFonts w:ascii="Arial" w:hAnsi="Arial" w:cs="Arial"/>
        </w:rPr>
        <w:t>i</w:t>
      </w:r>
      <w:proofErr w:type="spellEnd"/>
      <w:r w:rsidRPr="0092423C">
        <w:rPr>
          <w:rFonts w:ascii="Arial" w:hAnsi="Arial" w:cs="Arial"/>
        </w:rPr>
        <w:t>)</w:t>
      </w:r>
      <w:r w:rsidR="00AB2EF7" w:rsidRPr="0092423C">
        <w:rPr>
          <w:rFonts w:ascii="Arial" w:hAnsi="Arial" w:cs="Arial"/>
        </w:rPr>
        <w:t xml:space="preserve">  </w:t>
      </w:r>
      <w:r w:rsidR="00271DEA" w:rsidRPr="0092423C">
        <w:rPr>
          <w:rFonts w:ascii="Arial" w:hAnsi="Arial" w:cs="Arial"/>
        </w:rPr>
        <w:tab/>
      </w:r>
      <w:r w:rsidRPr="0092423C">
        <w:rPr>
          <w:rFonts w:ascii="Arial" w:hAnsi="Arial" w:cs="Arial"/>
        </w:rPr>
        <w:t>resolving operational incidents, or</w:t>
      </w:r>
      <w:r w:rsidR="005D481C" w:rsidRPr="0092423C">
        <w:rPr>
          <w:rFonts w:ascii="Arial" w:hAnsi="Arial" w:cs="Arial"/>
        </w:rPr>
        <w:t xml:space="preserve"> </w:t>
      </w:r>
    </w:p>
    <w:p w14:paraId="763ACDDF" w14:textId="11B1AAFE" w:rsidR="00271DEA" w:rsidRPr="0092423C" w:rsidRDefault="00FF5299" w:rsidP="00271DEA">
      <w:pPr>
        <w:pStyle w:val="NoSpacing"/>
        <w:tabs>
          <w:tab w:val="left" w:pos="1985"/>
        </w:tabs>
        <w:ind w:left="1560"/>
        <w:jc w:val="both"/>
        <w:rPr>
          <w:rFonts w:ascii="Arial" w:hAnsi="Arial" w:cs="Arial"/>
        </w:rPr>
      </w:pPr>
      <w:r w:rsidRPr="0092423C">
        <w:rPr>
          <w:rFonts w:ascii="Arial" w:hAnsi="Arial" w:cs="Arial"/>
        </w:rPr>
        <w:t>(ii)</w:t>
      </w:r>
      <w:r w:rsidR="00271DEA" w:rsidRPr="0092423C">
        <w:rPr>
          <w:rFonts w:ascii="Arial" w:hAnsi="Arial" w:cs="Arial"/>
        </w:rPr>
        <w:tab/>
      </w:r>
      <w:r w:rsidR="00AB2EF7" w:rsidRPr="0092423C">
        <w:rPr>
          <w:rFonts w:ascii="Arial" w:hAnsi="Arial" w:cs="Arial"/>
        </w:rPr>
        <w:t xml:space="preserve"> </w:t>
      </w:r>
      <w:r w:rsidRPr="0092423C">
        <w:rPr>
          <w:rFonts w:ascii="Arial" w:hAnsi="Arial" w:cs="Arial"/>
        </w:rPr>
        <w:t>leading and supporting others in the resolution of operational incidents;”</w:t>
      </w:r>
      <w:r w:rsidR="007F735F" w:rsidRPr="0092423C">
        <w:rPr>
          <w:rFonts w:ascii="Arial" w:hAnsi="Arial" w:cs="Arial"/>
        </w:rPr>
        <w:t xml:space="preserve"> </w:t>
      </w:r>
    </w:p>
    <w:p w14:paraId="39528979" w14:textId="77777777" w:rsidR="001B4E8F" w:rsidRPr="0092423C" w:rsidRDefault="00FF5299" w:rsidP="00271DEA">
      <w:pPr>
        <w:pStyle w:val="NoSpacing"/>
        <w:numPr>
          <w:ilvl w:val="0"/>
          <w:numId w:val="47"/>
        </w:numPr>
        <w:jc w:val="both"/>
        <w:rPr>
          <w:rFonts w:ascii="Arial" w:hAnsi="Arial" w:cs="Arial"/>
        </w:rPr>
      </w:pPr>
      <w:r w:rsidRPr="0092423C">
        <w:rPr>
          <w:rFonts w:ascii="Arial" w:hAnsi="Arial" w:cs="Arial"/>
        </w:rPr>
        <w:t>Retained firefighter is defined by the interpretations as</w:t>
      </w:r>
      <w:r w:rsidR="007F735F" w:rsidRPr="0092423C">
        <w:rPr>
          <w:rFonts w:ascii="Arial" w:hAnsi="Arial" w:cs="Arial"/>
        </w:rPr>
        <w:t xml:space="preserve"> </w:t>
      </w:r>
      <w:r w:rsidRPr="0092423C">
        <w:rPr>
          <w:rFonts w:ascii="Arial" w:hAnsi="Arial" w:cs="Arial"/>
        </w:rPr>
        <w:t>“retained firefighter” and “retained or volunteer firefighter” mean a person</w:t>
      </w:r>
      <w:r w:rsidR="007F735F" w:rsidRPr="0092423C">
        <w:rPr>
          <w:rFonts w:ascii="Arial" w:hAnsi="Arial" w:cs="Arial"/>
        </w:rPr>
        <w:t xml:space="preserve"> </w:t>
      </w:r>
      <w:r w:rsidRPr="0092423C">
        <w:rPr>
          <w:rFonts w:ascii="Arial" w:hAnsi="Arial" w:cs="Arial"/>
        </w:rPr>
        <w:t>employed by an authority—</w:t>
      </w:r>
      <w:r w:rsidR="007F735F" w:rsidRPr="0092423C">
        <w:rPr>
          <w:rFonts w:ascii="Arial" w:hAnsi="Arial" w:cs="Arial"/>
        </w:rPr>
        <w:t xml:space="preserve"> </w:t>
      </w:r>
    </w:p>
    <w:p w14:paraId="6FAC1BF1" w14:textId="7AD78692" w:rsidR="003839D0" w:rsidRPr="0092423C" w:rsidRDefault="00FF5299" w:rsidP="001B4E8F">
      <w:pPr>
        <w:pStyle w:val="NoSpacing"/>
        <w:ind w:left="1429" w:firstLine="131"/>
        <w:jc w:val="both"/>
        <w:rPr>
          <w:rFonts w:ascii="Arial" w:hAnsi="Arial" w:cs="Arial"/>
        </w:rPr>
      </w:pPr>
      <w:r w:rsidRPr="0092423C">
        <w:rPr>
          <w:rFonts w:ascii="Arial" w:hAnsi="Arial" w:cs="Arial"/>
        </w:rPr>
        <w:t>(a) as a firefighter, but not as a regular firefighter,</w:t>
      </w:r>
      <w:r w:rsidR="007F735F" w:rsidRPr="0092423C">
        <w:rPr>
          <w:rFonts w:ascii="Arial" w:hAnsi="Arial" w:cs="Arial"/>
        </w:rPr>
        <w:t xml:space="preserve"> </w:t>
      </w:r>
    </w:p>
    <w:p w14:paraId="378418AE" w14:textId="5FED1B22" w:rsidR="007F735F" w:rsidRPr="0092423C" w:rsidRDefault="00FF5299" w:rsidP="00971F55">
      <w:pPr>
        <w:pStyle w:val="NoSpacing"/>
        <w:tabs>
          <w:tab w:val="left" w:pos="1985"/>
        </w:tabs>
        <w:ind w:left="1985" w:hanging="283"/>
        <w:jc w:val="both"/>
        <w:rPr>
          <w:rFonts w:ascii="Arial" w:hAnsi="Arial" w:cs="Arial"/>
        </w:rPr>
      </w:pPr>
      <w:r w:rsidRPr="0092423C">
        <w:rPr>
          <w:rFonts w:ascii="Arial" w:hAnsi="Arial" w:cs="Arial"/>
        </w:rPr>
        <w:t xml:space="preserve">(b) on terms under which he is, or may be, required to engage in </w:t>
      </w:r>
      <w:proofErr w:type="gramStart"/>
      <w:r w:rsidRPr="0092423C">
        <w:rPr>
          <w:rFonts w:ascii="Arial" w:hAnsi="Arial" w:cs="Arial"/>
        </w:rPr>
        <w:t>fire-fighting</w:t>
      </w:r>
      <w:proofErr w:type="gramEnd"/>
      <w:r w:rsidR="009E1AF6" w:rsidRPr="0092423C">
        <w:rPr>
          <w:rFonts w:ascii="Arial" w:hAnsi="Arial" w:cs="Arial"/>
        </w:rPr>
        <w:t xml:space="preserve"> </w:t>
      </w:r>
      <w:r w:rsidRPr="0092423C">
        <w:rPr>
          <w:rFonts w:ascii="Arial" w:hAnsi="Arial" w:cs="Arial"/>
        </w:rPr>
        <w:t>or, without a break in continuity of such employment, may be required to</w:t>
      </w:r>
      <w:r w:rsidR="007F735F" w:rsidRPr="0092423C">
        <w:rPr>
          <w:rFonts w:ascii="Arial" w:hAnsi="Arial" w:cs="Arial"/>
        </w:rPr>
        <w:t xml:space="preserve"> </w:t>
      </w:r>
      <w:r w:rsidRPr="0092423C">
        <w:rPr>
          <w:rFonts w:ascii="Arial" w:hAnsi="Arial" w:cs="Arial"/>
        </w:rPr>
        <w:t>perform other duties appropriate to his role as a firefighter (whether instead</w:t>
      </w:r>
      <w:r w:rsidR="007F735F" w:rsidRPr="0092423C">
        <w:rPr>
          <w:rFonts w:ascii="Arial" w:hAnsi="Arial" w:cs="Arial"/>
        </w:rPr>
        <w:t xml:space="preserve"> </w:t>
      </w:r>
      <w:r w:rsidRPr="0092423C">
        <w:rPr>
          <w:rFonts w:ascii="Arial" w:hAnsi="Arial" w:cs="Arial"/>
        </w:rPr>
        <w:t>of, or in addition to, engaging in fire-fighting),</w:t>
      </w:r>
      <w:r w:rsidR="007F735F" w:rsidRPr="0092423C">
        <w:rPr>
          <w:rFonts w:ascii="Arial" w:hAnsi="Arial" w:cs="Arial"/>
        </w:rPr>
        <w:t xml:space="preserve"> </w:t>
      </w:r>
    </w:p>
    <w:p w14:paraId="5D5442CE" w14:textId="77777777" w:rsidR="00C31B86" w:rsidRPr="0092423C" w:rsidRDefault="00FF5299" w:rsidP="001A0FE7">
      <w:pPr>
        <w:pStyle w:val="NoSpacing"/>
        <w:tabs>
          <w:tab w:val="left" w:pos="1985"/>
        </w:tabs>
        <w:ind w:left="1560"/>
        <w:jc w:val="both"/>
        <w:rPr>
          <w:rFonts w:ascii="Arial" w:hAnsi="Arial" w:cs="Arial"/>
        </w:rPr>
      </w:pPr>
      <w:r w:rsidRPr="0092423C">
        <w:rPr>
          <w:rFonts w:ascii="Arial" w:hAnsi="Arial" w:cs="Arial"/>
        </w:rPr>
        <w:t xml:space="preserve">(c) </w:t>
      </w:r>
      <w:proofErr w:type="gramStart"/>
      <w:r w:rsidRPr="0092423C">
        <w:rPr>
          <w:rFonts w:ascii="Arial" w:hAnsi="Arial" w:cs="Arial"/>
        </w:rPr>
        <w:t>otherwise</w:t>
      </w:r>
      <w:proofErr w:type="gramEnd"/>
      <w:r w:rsidRPr="0092423C">
        <w:rPr>
          <w:rFonts w:ascii="Arial" w:hAnsi="Arial" w:cs="Arial"/>
        </w:rPr>
        <w:t xml:space="preserve"> than in a temporary capacity, and</w:t>
      </w:r>
      <w:r w:rsidR="007F735F" w:rsidRPr="0092423C">
        <w:rPr>
          <w:rFonts w:ascii="Arial" w:hAnsi="Arial" w:cs="Arial"/>
        </w:rPr>
        <w:t xml:space="preserve"> </w:t>
      </w:r>
    </w:p>
    <w:p w14:paraId="062DDF09" w14:textId="77777777" w:rsidR="00C31B86" w:rsidRPr="0092423C" w:rsidRDefault="00FF5299" w:rsidP="00971F55">
      <w:pPr>
        <w:pStyle w:val="NoSpacing"/>
        <w:tabs>
          <w:tab w:val="left" w:pos="1985"/>
        </w:tabs>
        <w:ind w:left="1843" w:hanging="283"/>
        <w:jc w:val="both"/>
        <w:rPr>
          <w:rFonts w:ascii="Arial" w:hAnsi="Arial" w:cs="Arial"/>
        </w:rPr>
      </w:pPr>
      <w:r w:rsidRPr="0092423C">
        <w:rPr>
          <w:rFonts w:ascii="Arial" w:hAnsi="Arial" w:cs="Arial"/>
        </w:rPr>
        <w:t>(d) who is obliged to attend at such times as the officer in charge</w:t>
      </w:r>
      <w:r w:rsidR="00C31B86" w:rsidRPr="0092423C">
        <w:rPr>
          <w:rFonts w:ascii="Arial" w:hAnsi="Arial" w:cs="Arial"/>
        </w:rPr>
        <w:t xml:space="preserve"> </w:t>
      </w:r>
      <w:r w:rsidRPr="0092423C">
        <w:rPr>
          <w:rFonts w:ascii="Arial" w:hAnsi="Arial" w:cs="Arial"/>
        </w:rPr>
        <w:t>considers necessary, and in accordance with the orders that he receives;”</w:t>
      </w:r>
      <w:r w:rsidR="00C31B86" w:rsidRPr="0092423C">
        <w:rPr>
          <w:rFonts w:ascii="Arial" w:hAnsi="Arial" w:cs="Arial"/>
        </w:rPr>
        <w:t xml:space="preserve"> </w:t>
      </w:r>
    </w:p>
    <w:p w14:paraId="5303AFA2" w14:textId="7713B8D1" w:rsidR="00820BDB" w:rsidRPr="0092423C" w:rsidRDefault="00FF5299" w:rsidP="00971F55">
      <w:pPr>
        <w:pStyle w:val="NoSpacing"/>
        <w:numPr>
          <w:ilvl w:val="0"/>
          <w:numId w:val="47"/>
        </w:numPr>
        <w:jc w:val="both"/>
        <w:rPr>
          <w:rFonts w:ascii="Arial" w:hAnsi="Arial" w:cs="Arial"/>
        </w:rPr>
      </w:pPr>
      <w:r w:rsidRPr="0092423C">
        <w:rPr>
          <w:rFonts w:ascii="Arial" w:hAnsi="Arial" w:cs="Arial"/>
        </w:rPr>
        <w:t>It is for the FRA to consider whether the qualifying injury occurred ‘</w:t>
      </w:r>
      <w:r w:rsidRPr="0092423C">
        <w:rPr>
          <w:rFonts w:ascii="Arial" w:hAnsi="Arial" w:cs="Arial"/>
          <w:b/>
          <w:bCs/>
        </w:rPr>
        <w:t>in the</w:t>
      </w:r>
      <w:r w:rsidR="00820BDB" w:rsidRPr="0092423C">
        <w:rPr>
          <w:rFonts w:ascii="Arial" w:hAnsi="Arial" w:cs="Arial"/>
          <w:b/>
          <w:bCs/>
        </w:rPr>
        <w:t xml:space="preserve"> </w:t>
      </w:r>
      <w:r w:rsidRPr="0092423C">
        <w:rPr>
          <w:rFonts w:ascii="Arial" w:hAnsi="Arial" w:cs="Arial"/>
          <w:b/>
          <w:bCs/>
        </w:rPr>
        <w:t>‘exercise of duties’ as a ‘regular or retained firefighter</w:t>
      </w:r>
      <w:r w:rsidRPr="0092423C">
        <w:rPr>
          <w:rFonts w:ascii="Arial" w:hAnsi="Arial" w:cs="Arial"/>
        </w:rPr>
        <w:t>'.</w:t>
      </w:r>
      <w:r w:rsidR="00820BDB" w:rsidRPr="0092423C">
        <w:rPr>
          <w:rFonts w:ascii="Arial" w:hAnsi="Arial" w:cs="Arial"/>
        </w:rPr>
        <w:t xml:space="preserve"> </w:t>
      </w:r>
    </w:p>
    <w:p w14:paraId="4C7CAD8E" w14:textId="0C44D7C4" w:rsidR="00546117" w:rsidRPr="0092423C" w:rsidRDefault="00FF5299" w:rsidP="002240FE">
      <w:pPr>
        <w:pStyle w:val="NoSpacing"/>
        <w:numPr>
          <w:ilvl w:val="0"/>
          <w:numId w:val="47"/>
        </w:numPr>
        <w:jc w:val="both"/>
        <w:rPr>
          <w:rFonts w:ascii="Arial" w:hAnsi="Arial" w:cs="Arial"/>
        </w:rPr>
      </w:pPr>
      <w:r w:rsidRPr="0092423C">
        <w:rPr>
          <w:rFonts w:ascii="Arial" w:hAnsi="Arial" w:cs="Arial"/>
        </w:rPr>
        <w:t>It would not be appropriate for anyone other than the employer to determine</w:t>
      </w:r>
      <w:r w:rsidR="00820BDB" w:rsidRPr="0092423C">
        <w:rPr>
          <w:rFonts w:ascii="Arial" w:hAnsi="Arial" w:cs="Arial"/>
        </w:rPr>
        <w:t xml:space="preserve"> </w:t>
      </w:r>
      <w:r w:rsidRPr="0092423C">
        <w:rPr>
          <w:rFonts w:ascii="Arial" w:hAnsi="Arial" w:cs="Arial"/>
        </w:rPr>
        <w:t>what is the exercise of duties as a firefighter; the regulatory definitions of a</w:t>
      </w:r>
      <w:r w:rsidR="00820BDB" w:rsidRPr="0092423C">
        <w:rPr>
          <w:rFonts w:ascii="Arial" w:hAnsi="Arial" w:cs="Arial"/>
        </w:rPr>
        <w:t xml:space="preserve"> </w:t>
      </w:r>
      <w:r w:rsidRPr="0092423C">
        <w:rPr>
          <w:rFonts w:ascii="Arial" w:hAnsi="Arial" w:cs="Arial"/>
        </w:rPr>
        <w:t>regular or retained firefighter do not refer to the role map, rather to their</w:t>
      </w:r>
      <w:r w:rsidR="00820BDB" w:rsidRPr="0092423C">
        <w:rPr>
          <w:rFonts w:ascii="Arial" w:hAnsi="Arial" w:cs="Arial"/>
        </w:rPr>
        <w:t xml:space="preserve"> </w:t>
      </w:r>
      <w:r w:rsidRPr="0092423C">
        <w:rPr>
          <w:rFonts w:ascii="Arial" w:hAnsi="Arial" w:cs="Arial"/>
          <w:b/>
          <w:bCs/>
        </w:rPr>
        <w:t xml:space="preserve">employment </w:t>
      </w:r>
      <w:r w:rsidRPr="0092423C">
        <w:rPr>
          <w:rFonts w:ascii="Arial" w:hAnsi="Arial" w:cs="Arial"/>
        </w:rPr>
        <w:t>as a regular or retained firefighter.</w:t>
      </w:r>
      <w:r w:rsidR="00820BDB" w:rsidRPr="0092423C">
        <w:rPr>
          <w:rFonts w:ascii="Arial" w:hAnsi="Arial" w:cs="Arial"/>
        </w:rPr>
        <w:t xml:space="preserve"> </w:t>
      </w:r>
    </w:p>
    <w:p w14:paraId="392C5E7F" w14:textId="7891EE6A" w:rsidR="00546117" w:rsidRPr="0092423C" w:rsidRDefault="00FF5299" w:rsidP="002240FE">
      <w:pPr>
        <w:pStyle w:val="NoSpacing"/>
        <w:numPr>
          <w:ilvl w:val="0"/>
          <w:numId w:val="47"/>
        </w:numPr>
        <w:jc w:val="both"/>
        <w:rPr>
          <w:rFonts w:ascii="Arial" w:hAnsi="Arial" w:cs="Arial"/>
        </w:rPr>
      </w:pPr>
      <w:r w:rsidRPr="0092423C">
        <w:rPr>
          <w:rFonts w:ascii="Arial" w:hAnsi="Arial" w:cs="Arial"/>
        </w:rPr>
        <w:t xml:space="preserve">FRAs should </w:t>
      </w:r>
      <w:proofErr w:type="gramStart"/>
      <w:r w:rsidRPr="0092423C">
        <w:rPr>
          <w:rFonts w:ascii="Arial" w:hAnsi="Arial" w:cs="Arial"/>
        </w:rPr>
        <w:t>take into account</w:t>
      </w:r>
      <w:proofErr w:type="gramEnd"/>
      <w:r w:rsidRPr="0092423C">
        <w:rPr>
          <w:rFonts w:ascii="Arial" w:hAnsi="Arial" w:cs="Arial"/>
        </w:rPr>
        <w:t xml:space="preserve"> what the contractual arrangements for</w:t>
      </w:r>
      <w:r w:rsidR="00546117" w:rsidRPr="0092423C">
        <w:rPr>
          <w:rFonts w:ascii="Arial" w:hAnsi="Arial" w:cs="Arial"/>
        </w:rPr>
        <w:t xml:space="preserve"> </w:t>
      </w:r>
      <w:r w:rsidRPr="0092423C">
        <w:rPr>
          <w:rFonts w:ascii="Arial" w:hAnsi="Arial" w:cs="Arial"/>
        </w:rPr>
        <w:t>additional duties are and whether these are in the context of the existing</w:t>
      </w:r>
      <w:r w:rsidR="00546117" w:rsidRPr="0092423C">
        <w:rPr>
          <w:rFonts w:ascii="Arial" w:hAnsi="Arial" w:cs="Arial"/>
        </w:rPr>
        <w:t xml:space="preserve"> </w:t>
      </w:r>
      <w:r w:rsidRPr="0092423C">
        <w:rPr>
          <w:rFonts w:ascii="Arial" w:hAnsi="Arial" w:cs="Arial"/>
        </w:rPr>
        <w:t>contract as a firefighter, or whether these are contracted for separately with no</w:t>
      </w:r>
      <w:r w:rsidR="00546117" w:rsidRPr="0092423C">
        <w:rPr>
          <w:rFonts w:ascii="Arial" w:hAnsi="Arial" w:cs="Arial"/>
        </w:rPr>
        <w:t xml:space="preserve"> </w:t>
      </w:r>
      <w:r w:rsidRPr="0092423C">
        <w:rPr>
          <w:rFonts w:ascii="Arial" w:hAnsi="Arial" w:cs="Arial"/>
        </w:rPr>
        <w:lastRenderedPageBreak/>
        <w:t>reference to being employed as a firefighter. You may be aware of the</w:t>
      </w:r>
      <w:r w:rsidR="00546117" w:rsidRPr="0092423C">
        <w:rPr>
          <w:rFonts w:ascii="Arial" w:hAnsi="Arial" w:cs="Arial"/>
        </w:rPr>
        <w:t xml:space="preserve"> </w:t>
      </w:r>
      <w:r w:rsidRPr="0092423C">
        <w:rPr>
          <w:rFonts w:ascii="Arial" w:hAnsi="Arial" w:cs="Arial"/>
        </w:rPr>
        <w:t>employers circular FAQs Q12 regarding volunteering for additional duties</w:t>
      </w:r>
      <w:r w:rsidR="00546117" w:rsidRPr="0092423C">
        <w:rPr>
          <w:rFonts w:ascii="Arial" w:hAnsi="Arial" w:cs="Arial"/>
        </w:rPr>
        <w:t xml:space="preserve"> </w:t>
      </w:r>
      <w:r w:rsidRPr="0092423C">
        <w:rPr>
          <w:rFonts w:ascii="Arial" w:hAnsi="Arial" w:cs="Arial"/>
        </w:rPr>
        <w:t>“</w:t>
      </w:r>
      <w:r w:rsidRPr="0092423C">
        <w:rPr>
          <w:rFonts w:ascii="Arial" w:hAnsi="Arial" w:cs="Arial"/>
          <w:i/>
          <w:iCs/>
        </w:rPr>
        <w:t>What is the position in respect of my pension</w:t>
      </w:r>
      <w:r w:rsidRPr="0092423C">
        <w:rPr>
          <w:rFonts w:ascii="Arial" w:hAnsi="Arial" w:cs="Arial"/>
        </w:rPr>
        <w:t>” to which the answer is:</w:t>
      </w:r>
      <w:r w:rsidR="00546117" w:rsidRPr="0092423C">
        <w:rPr>
          <w:rFonts w:ascii="Arial" w:hAnsi="Arial" w:cs="Arial"/>
        </w:rPr>
        <w:t xml:space="preserve"> </w:t>
      </w:r>
    </w:p>
    <w:p w14:paraId="7663A45F" w14:textId="575633EA" w:rsidR="00FF5299" w:rsidRPr="0092423C" w:rsidRDefault="00FF5299" w:rsidP="00BD36BF">
      <w:pPr>
        <w:pStyle w:val="NoSpacing"/>
        <w:ind w:left="709"/>
        <w:jc w:val="both"/>
        <w:rPr>
          <w:rFonts w:ascii="Arial" w:hAnsi="Arial" w:cs="Arial"/>
          <w:i/>
          <w:iCs/>
        </w:rPr>
      </w:pPr>
      <w:r w:rsidRPr="0092423C">
        <w:rPr>
          <w:rFonts w:ascii="Arial" w:hAnsi="Arial" w:cs="Arial"/>
          <w:i/>
          <w:iCs/>
        </w:rPr>
        <w:t>“You are volunteering to assist your service's response to the pandemic,</w:t>
      </w:r>
      <w:r w:rsidR="003A3C80" w:rsidRPr="0092423C">
        <w:rPr>
          <w:rFonts w:ascii="Arial" w:hAnsi="Arial" w:cs="Arial"/>
          <w:i/>
          <w:iCs/>
        </w:rPr>
        <w:t xml:space="preserve"> </w:t>
      </w:r>
      <w:r w:rsidRPr="0092423C">
        <w:rPr>
          <w:rFonts w:ascii="Arial" w:hAnsi="Arial" w:cs="Arial"/>
          <w:i/>
          <w:iCs/>
        </w:rPr>
        <w:t>thereby agreeing to undertake a variation to your normal duties following a</w:t>
      </w:r>
      <w:r w:rsidR="003A3C80" w:rsidRPr="0092423C">
        <w:rPr>
          <w:rFonts w:ascii="Arial" w:hAnsi="Arial" w:cs="Arial"/>
          <w:i/>
          <w:iCs/>
        </w:rPr>
        <w:t xml:space="preserve"> </w:t>
      </w:r>
      <w:r w:rsidRPr="0092423C">
        <w:rPr>
          <w:rFonts w:ascii="Arial" w:hAnsi="Arial" w:cs="Arial"/>
          <w:i/>
          <w:iCs/>
        </w:rPr>
        <w:t>reasonable request by your employer. You are therefore undertaking</w:t>
      </w:r>
      <w:r w:rsidR="003A3C80" w:rsidRPr="0092423C">
        <w:rPr>
          <w:rFonts w:ascii="Arial" w:hAnsi="Arial" w:cs="Arial"/>
          <w:i/>
          <w:iCs/>
        </w:rPr>
        <w:t xml:space="preserve"> </w:t>
      </w:r>
      <w:r w:rsidRPr="0092423C">
        <w:rPr>
          <w:rFonts w:ascii="Arial" w:hAnsi="Arial" w:cs="Arial"/>
          <w:i/>
          <w:iCs/>
        </w:rPr>
        <w:t>authorised duty within the context of your existing contract and the pension</w:t>
      </w:r>
      <w:r w:rsidR="003A3C80" w:rsidRPr="0092423C">
        <w:rPr>
          <w:rFonts w:ascii="Arial" w:hAnsi="Arial" w:cs="Arial"/>
          <w:i/>
          <w:iCs/>
        </w:rPr>
        <w:t xml:space="preserve"> </w:t>
      </w:r>
      <w:r w:rsidRPr="0092423C">
        <w:rPr>
          <w:rFonts w:ascii="Arial" w:hAnsi="Arial" w:cs="Arial"/>
          <w:i/>
          <w:iCs/>
        </w:rPr>
        <w:t>scheme rules.”</w:t>
      </w:r>
    </w:p>
    <w:p w14:paraId="67A5CA88" w14:textId="77777777" w:rsidR="00FF5299" w:rsidRPr="0092423C" w:rsidRDefault="00FF5299" w:rsidP="00FF5299">
      <w:pPr>
        <w:pStyle w:val="NoSpacing"/>
        <w:jc w:val="both"/>
        <w:rPr>
          <w:rFonts w:ascii="Arial" w:hAnsi="Arial" w:cs="Arial"/>
          <w:i/>
          <w:iCs/>
        </w:rPr>
      </w:pPr>
    </w:p>
    <w:p w14:paraId="46780001" w14:textId="77777777" w:rsidR="003A3C80" w:rsidRPr="0092423C" w:rsidRDefault="00FF5299" w:rsidP="00856D1A">
      <w:pPr>
        <w:pStyle w:val="NoSpacing"/>
        <w:ind w:left="709"/>
        <w:jc w:val="both"/>
        <w:rPr>
          <w:rStyle w:val="fontstyle01"/>
          <w:rFonts w:ascii="Arial" w:hAnsi="Arial" w:cs="Arial"/>
          <w:b/>
          <w:bCs/>
          <w:color w:val="auto"/>
        </w:rPr>
      </w:pPr>
      <w:r w:rsidRPr="0092423C">
        <w:rPr>
          <w:rStyle w:val="fontstyle01"/>
          <w:rFonts w:ascii="Arial" w:hAnsi="Arial" w:cs="Arial"/>
          <w:b/>
          <w:bCs/>
          <w:color w:val="auto"/>
        </w:rPr>
        <w:t>IQMP assessments</w:t>
      </w:r>
    </w:p>
    <w:p w14:paraId="207BDDE8" w14:textId="77777777" w:rsidR="001002CC" w:rsidRPr="0092423C" w:rsidRDefault="00FF5299" w:rsidP="00856D1A">
      <w:pPr>
        <w:pStyle w:val="NoSpacing"/>
        <w:ind w:left="709"/>
        <w:jc w:val="both"/>
        <w:rPr>
          <w:rStyle w:val="fontstyle21"/>
          <w:rFonts w:ascii="Arial" w:hAnsi="Arial" w:cs="Arial"/>
          <w:color w:val="auto"/>
        </w:rPr>
      </w:pPr>
      <w:r w:rsidRPr="0092423C">
        <w:rPr>
          <w:rStyle w:val="fontstyle21"/>
          <w:rFonts w:ascii="Arial" w:hAnsi="Arial" w:cs="Arial"/>
          <w:color w:val="auto"/>
        </w:rPr>
        <w:t>At their meeting on 10 December 2020, the Scheme Advisory Board (SAB)</w:t>
      </w:r>
      <w:r w:rsidR="001002CC" w:rsidRPr="0092423C">
        <w:rPr>
          <w:rStyle w:val="fontstyle21"/>
          <w:rFonts w:ascii="Arial" w:hAnsi="Arial" w:cs="Arial"/>
          <w:color w:val="auto"/>
        </w:rPr>
        <w:t xml:space="preserve"> </w:t>
      </w:r>
      <w:r w:rsidRPr="0092423C">
        <w:rPr>
          <w:rStyle w:val="fontstyle21"/>
          <w:rFonts w:ascii="Arial" w:hAnsi="Arial" w:cs="Arial"/>
          <w:color w:val="auto"/>
        </w:rPr>
        <w:t>discussed a paper updating Board members on medical retirements from the FPS.</w:t>
      </w:r>
      <w:r w:rsidR="001002CC" w:rsidRPr="0092423C">
        <w:rPr>
          <w:rStyle w:val="fontstyle21"/>
          <w:rFonts w:ascii="Arial" w:hAnsi="Arial" w:cs="Arial"/>
          <w:color w:val="auto"/>
        </w:rPr>
        <w:t xml:space="preserve"> </w:t>
      </w:r>
    </w:p>
    <w:p w14:paraId="33658586" w14:textId="77777777" w:rsidR="00797BA8" w:rsidRPr="0092423C" w:rsidRDefault="00797BA8" w:rsidP="00856D1A">
      <w:pPr>
        <w:pStyle w:val="NoSpacing"/>
        <w:ind w:left="709"/>
        <w:jc w:val="both"/>
        <w:rPr>
          <w:rStyle w:val="fontstyle21"/>
          <w:rFonts w:ascii="Arial" w:hAnsi="Arial" w:cs="Arial"/>
          <w:color w:val="auto"/>
        </w:rPr>
      </w:pPr>
    </w:p>
    <w:p w14:paraId="6293C003" w14:textId="77777777" w:rsidR="00797BA8" w:rsidRPr="0092423C" w:rsidRDefault="00FF5299" w:rsidP="00856D1A">
      <w:pPr>
        <w:pStyle w:val="NoSpacing"/>
        <w:ind w:left="709"/>
        <w:jc w:val="both"/>
        <w:rPr>
          <w:rStyle w:val="fontstyle21"/>
          <w:rFonts w:ascii="Arial" w:hAnsi="Arial" w:cs="Arial"/>
          <w:color w:val="auto"/>
        </w:rPr>
      </w:pPr>
      <w:r w:rsidRPr="0092423C">
        <w:rPr>
          <w:rStyle w:val="fontstyle21"/>
          <w:rFonts w:ascii="Arial" w:hAnsi="Arial" w:cs="Arial"/>
          <w:color w:val="auto"/>
        </w:rPr>
        <w:t>The Board agreed that the paper should form a factsheet update to stakeholders on</w:t>
      </w:r>
      <w:r w:rsidR="001002CC" w:rsidRPr="0092423C">
        <w:rPr>
          <w:rStyle w:val="fontstyle21"/>
          <w:rFonts w:ascii="Arial" w:hAnsi="Arial" w:cs="Arial"/>
          <w:color w:val="auto"/>
        </w:rPr>
        <w:t xml:space="preserve"> </w:t>
      </w:r>
      <w:r w:rsidRPr="0092423C">
        <w:rPr>
          <w:rStyle w:val="fontstyle21"/>
          <w:rFonts w:ascii="Arial" w:hAnsi="Arial" w:cs="Arial"/>
          <w:color w:val="auto"/>
        </w:rPr>
        <w:t>ill-health and injury retirements and that it would proceed with forming a review group</w:t>
      </w:r>
      <w:r w:rsidR="001002CC" w:rsidRPr="0092423C">
        <w:rPr>
          <w:rStyle w:val="fontstyle21"/>
          <w:rFonts w:ascii="Arial" w:hAnsi="Arial" w:cs="Arial"/>
          <w:color w:val="auto"/>
        </w:rPr>
        <w:t xml:space="preserve"> </w:t>
      </w:r>
      <w:r w:rsidRPr="0092423C">
        <w:rPr>
          <w:rStyle w:val="fontstyle21"/>
          <w:rFonts w:ascii="Arial" w:hAnsi="Arial" w:cs="Arial"/>
          <w:color w:val="auto"/>
        </w:rPr>
        <w:t>for guidance.</w:t>
      </w:r>
      <w:r w:rsidR="001002CC" w:rsidRPr="0092423C">
        <w:rPr>
          <w:rStyle w:val="fontstyle21"/>
          <w:rFonts w:ascii="Arial" w:hAnsi="Arial" w:cs="Arial"/>
          <w:color w:val="auto"/>
        </w:rPr>
        <w:t xml:space="preserve"> </w:t>
      </w:r>
      <w:r w:rsidRPr="0092423C">
        <w:rPr>
          <w:rStyle w:val="fontstyle21"/>
          <w:rFonts w:ascii="Arial" w:hAnsi="Arial" w:cs="Arial"/>
          <w:color w:val="auto"/>
        </w:rPr>
        <w:t>In consideration of the question on the ability of an Independent Qualified Medical</w:t>
      </w:r>
      <w:r w:rsidR="001002CC" w:rsidRPr="0092423C">
        <w:rPr>
          <w:rStyle w:val="fontstyle21"/>
          <w:rFonts w:ascii="Arial" w:hAnsi="Arial" w:cs="Arial"/>
          <w:color w:val="auto"/>
        </w:rPr>
        <w:t xml:space="preserve"> </w:t>
      </w:r>
      <w:r w:rsidRPr="0092423C">
        <w:rPr>
          <w:rStyle w:val="fontstyle21"/>
          <w:rFonts w:ascii="Arial" w:hAnsi="Arial" w:cs="Arial"/>
          <w:color w:val="auto"/>
        </w:rPr>
        <w:t>Practitioner (IQMP) to make an assessment under both the legacy and reformed</w:t>
      </w:r>
      <w:r w:rsidR="001002CC" w:rsidRPr="0092423C">
        <w:rPr>
          <w:rStyle w:val="fontstyle21"/>
          <w:rFonts w:ascii="Arial" w:hAnsi="Arial" w:cs="Arial"/>
          <w:color w:val="auto"/>
        </w:rPr>
        <w:t xml:space="preserve"> </w:t>
      </w:r>
      <w:r w:rsidRPr="0092423C">
        <w:rPr>
          <w:rStyle w:val="fontstyle21"/>
          <w:rFonts w:ascii="Arial" w:hAnsi="Arial" w:cs="Arial"/>
          <w:color w:val="auto"/>
        </w:rPr>
        <w:t>schemes [paragraphs 30 to 33], the Board agreed for the secretariat to draft a</w:t>
      </w:r>
      <w:r w:rsidR="00975DAF" w:rsidRPr="0092423C">
        <w:rPr>
          <w:rStyle w:val="fontstyle21"/>
          <w:rFonts w:ascii="Arial" w:hAnsi="Arial" w:cs="Arial"/>
          <w:color w:val="auto"/>
        </w:rPr>
        <w:t xml:space="preserve"> </w:t>
      </w:r>
      <w:r w:rsidRPr="0092423C">
        <w:rPr>
          <w:rStyle w:val="fontstyle21"/>
          <w:rFonts w:ascii="Arial" w:hAnsi="Arial" w:cs="Arial"/>
          <w:color w:val="auto"/>
        </w:rPr>
        <w:t>statement on behalf of SAB to confirm that IQMPs may assess the same member</w:t>
      </w:r>
      <w:r w:rsidR="00975DAF" w:rsidRPr="0092423C">
        <w:rPr>
          <w:rStyle w:val="fontstyle21"/>
          <w:rFonts w:ascii="Arial" w:hAnsi="Arial" w:cs="Arial"/>
          <w:color w:val="auto"/>
        </w:rPr>
        <w:t xml:space="preserve"> </w:t>
      </w:r>
      <w:r w:rsidRPr="0092423C">
        <w:rPr>
          <w:rStyle w:val="fontstyle21"/>
          <w:rFonts w:ascii="Arial" w:hAnsi="Arial" w:cs="Arial"/>
          <w:color w:val="auto"/>
        </w:rPr>
        <w:t>against the criteria of multiple schemes for recognised purposes including injury</w:t>
      </w:r>
      <w:r w:rsidR="00975DAF" w:rsidRPr="0092423C">
        <w:rPr>
          <w:rStyle w:val="fontstyle21"/>
          <w:rFonts w:ascii="Arial" w:hAnsi="Arial" w:cs="Arial"/>
          <w:color w:val="auto"/>
        </w:rPr>
        <w:t xml:space="preserve"> </w:t>
      </w:r>
      <w:r w:rsidRPr="0092423C">
        <w:rPr>
          <w:rStyle w:val="fontstyle21"/>
          <w:rFonts w:ascii="Arial" w:hAnsi="Arial" w:cs="Arial"/>
          <w:color w:val="auto"/>
        </w:rPr>
        <w:t>awards under the compensation schemes, transitional deferred benefits, and age</w:t>
      </w:r>
      <w:r w:rsidR="00975DAF" w:rsidRPr="0092423C">
        <w:rPr>
          <w:rStyle w:val="fontstyle21"/>
          <w:rFonts w:ascii="Arial" w:hAnsi="Arial" w:cs="Arial"/>
          <w:color w:val="auto"/>
        </w:rPr>
        <w:t xml:space="preserve"> </w:t>
      </w:r>
      <w:r w:rsidRPr="0092423C">
        <w:rPr>
          <w:rStyle w:val="fontstyle21"/>
          <w:rFonts w:ascii="Arial" w:hAnsi="Arial" w:cs="Arial"/>
          <w:color w:val="auto"/>
        </w:rPr>
        <w:t>discrimination remedy/ immediate detriment.</w:t>
      </w:r>
      <w:r w:rsidR="00975DAF" w:rsidRPr="0092423C">
        <w:rPr>
          <w:rStyle w:val="fontstyle21"/>
          <w:rFonts w:ascii="Arial" w:hAnsi="Arial" w:cs="Arial"/>
          <w:color w:val="auto"/>
        </w:rPr>
        <w:t xml:space="preserve"> </w:t>
      </w:r>
    </w:p>
    <w:p w14:paraId="260895DD" w14:textId="77777777" w:rsidR="00797BA8" w:rsidRPr="0092423C" w:rsidRDefault="00797BA8" w:rsidP="00856D1A">
      <w:pPr>
        <w:pStyle w:val="NoSpacing"/>
        <w:ind w:left="709"/>
        <w:jc w:val="both"/>
        <w:rPr>
          <w:rStyle w:val="fontstyle21"/>
          <w:rFonts w:ascii="Arial" w:hAnsi="Arial" w:cs="Arial"/>
          <w:color w:val="auto"/>
        </w:rPr>
      </w:pPr>
    </w:p>
    <w:p w14:paraId="07C25184" w14:textId="593A20C9" w:rsidR="00975DAF" w:rsidRPr="0092423C" w:rsidRDefault="00FF5299" w:rsidP="00856D1A">
      <w:pPr>
        <w:pStyle w:val="NoSpacing"/>
        <w:ind w:left="709"/>
        <w:jc w:val="both"/>
        <w:rPr>
          <w:rStyle w:val="fontstyle21"/>
          <w:rFonts w:ascii="Arial" w:hAnsi="Arial" w:cs="Arial"/>
          <w:color w:val="auto"/>
        </w:rPr>
      </w:pPr>
      <w:r w:rsidRPr="0092423C">
        <w:rPr>
          <w:rStyle w:val="fontstyle21"/>
          <w:rFonts w:ascii="Arial" w:hAnsi="Arial" w:cs="Arial"/>
          <w:color w:val="auto"/>
        </w:rPr>
        <w:t>This statement is included below:</w:t>
      </w:r>
      <w:r w:rsidR="00975DAF" w:rsidRPr="0092423C">
        <w:rPr>
          <w:rStyle w:val="fontstyle21"/>
          <w:rFonts w:ascii="Arial" w:hAnsi="Arial" w:cs="Arial"/>
          <w:color w:val="auto"/>
        </w:rPr>
        <w:t xml:space="preserve"> </w:t>
      </w:r>
    </w:p>
    <w:p w14:paraId="468A3E9D" w14:textId="77777777" w:rsidR="00975DAF" w:rsidRPr="0092423C" w:rsidRDefault="00975DAF" w:rsidP="00856D1A">
      <w:pPr>
        <w:pStyle w:val="NoSpacing"/>
        <w:ind w:left="709"/>
        <w:jc w:val="both"/>
        <w:rPr>
          <w:rStyle w:val="fontstyle21"/>
          <w:rFonts w:ascii="Arial" w:hAnsi="Arial" w:cs="Arial"/>
          <w:color w:val="auto"/>
        </w:rPr>
      </w:pPr>
    </w:p>
    <w:p w14:paraId="10F3540E" w14:textId="77777777" w:rsidR="00BB2CCB" w:rsidRPr="0092423C" w:rsidRDefault="00FF5299" w:rsidP="00856D1A">
      <w:pPr>
        <w:pStyle w:val="NoSpacing"/>
        <w:ind w:left="709"/>
        <w:jc w:val="both"/>
        <w:rPr>
          <w:rStyle w:val="fontstyle21"/>
          <w:rFonts w:ascii="Arial" w:hAnsi="Arial" w:cs="Arial"/>
          <w:color w:val="auto"/>
        </w:rPr>
      </w:pPr>
      <w:r w:rsidRPr="0092423C">
        <w:rPr>
          <w:rStyle w:val="fontstyle21"/>
          <w:rFonts w:ascii="Arial" w:hAnsi="Arial" w:cs="Arial"/>
          <w:color w:val="auto"/>
        </w:rPr>
        <w:t>“In cases of immediate detriment, some IQMPs have felt unable to make</w:t>
      </w:r>
      <w:r w:rsidR="00BB2CCB" w:rsidRPr="0092423C">
        <w:rPr>
          <w:rStyle w:val="fontstyle21"/>
          <w:rFonts w:ascii="Arial" w:hAnsi="Arial" w:cs="Arial"/>
          <w:color w:val="auto"/>
        </w:rPr>
        <w:t xml:space="preserve"> </w:t>
      </w:r>
      <w:r w:rsidRPr="0092423C">
        <w:rPr>
          <w:rStyle w:val="fontstyle21"/>
          <w:rFonts w:ascii="Arial" w:hAnsi="Arial" w:cs="Arial"/>
          <w:color w:val="auto"/>
        </w:rPr>
        <w:t>assessments under two schemes, due to wording in the scheme regulations that</w:t>
      </w:r>
      <w:r w:rsidR="00BB2CCB" w:rsidRPr="0092423C">
        <w:rPr>
          <w:rStyle w:val="fontstyle21"/>
          <w:rFonts w:ascii="Arial" w:hAnsi="Arial" w:cs="Arial"/>
          <w:color w:val="auto"/>
        </w:rPr>
        <w:t xml:space="preserve"> </w:t>
      </w:r>
      <w:r w:rsidRPr="0092423C">
        <w:rPr>
          <w:rStyle w:val="fontstyle21"/>
          <w:rFonts w:ascii="Arial" w:hAnsi="Arial" w:cs="Arial"/>
          <w:color w:val="auto"/>
        </w:rPr>
        <w:t>state the IQMP should not previously have been involved in a case for which his/her</w:t>
      </w:r>
      <w:r w:rsidR="00BB2CCB" w:rsidRPr="0092423C">
        <w:rPr>
          <w:rStyle w:val="fontstyle21"/>
          <w:rFonts w:ascii="Arial" w:hAnsi="Arial" w:cs="Arial"/>
          <w:color w:val="auto"/>
        </w:rPr>
        <w:t xml:space="preserve"> </w:t>
      </w:r>
      <w:r w:rsidRPr="0092423C">
        <w:rPr>
          <w:rStyle w:val="fontstyle21"/>
          <w:rFonts w:ascii="Arial" w:hAnsi="Arial" w:cs="Arial"/>
          <w:color w:val="auto"/>
        </w:rPr>
        <w:t>opinion has been requested, and they feel that whether the IQMP can express an</w:t>
      </w:r>
      <w:r w:rsidR="00BB2CCB" w:rsidRPr="0092423C">
        <w:rPr>
          <w:rStyle w:val="fontstyle21"/>
          <w:rFonts w:ascii="Arial" w:hAnsi="Arial" w:cs="Arial"/>
          <w:color w:val="auto"/>
        </w:rPr>
        <w:t xml:space="preserve"> </w:t>
      </w:r>
      <w:r w:rsidRPr="0092423C">
        <w:rPr>
          <w:rStyle w:val="fontstyle21"/>
          <w:rFonts w:ascii="Arial" w:hAnsi="Arial" w:cs="Arial"/>
          <w:color w:val="auto"/>
        </w:rPr>
        <w:t>opinion on both schemes simultaneously is unclear.</w:t>
      </w:r>
      <w:r w:rsidR="00BB2CCB" w:rsidRPr="0092423C">
        <w:rPr>
          <w:rStyle w:val="fontstyle21"/>
          <w:rFonts w:ascii="Arial" w:hAnsi="Arial" w:cs="Arial"/>
          <w:color w:val="auto"/>
        </w:rPr>
        <w:t xml:space="preserve"> </w:t>
      </w:r>
    </w:p>
    <w:p w14:paraId="289271FC" w14:textId="77777777" w:rsidR="00797BA8" w:rsidRPr="0092423C" w:rsidRDefault="00797BA8" w:rsidP="00856D1A">
      <w:pPr>
        <w:pStyle w:val="NoSpacing"/>
        <w:ind w:left="709"/>
        <w:jc w:val="both"/>
        <w:rPr>
          <w:rStyle w:val="fontstyle21"/>
          <w:rFonts w:ascii="Arial" w:hAnsi="Arial" w:cs="Arial"/>
          <w:color w:val="auto"/>
        </w:rPr>
      </w:pPr>
    </w:p>
    <w:p w14:paraId="5E57A8EF" w14:textId="326A06C5" w:rsidR="00FF5299" w:rsidRPr="0092423C" w:rsidRDefault="00FF5299" w:rsidP="00856D1A">
      <w:pPr>
        <w:pStyle w:val="NoSpacing"/>
        <w:ind w:left="709"/>
        <w:jc w:val="both"/>
        <w:rPr>
          <w:rStyle w:val="fontstyle21"/>
          <w:rFonts w:ascii="Arial" w:hAnsi="Arial" w:cs="Arial"/>
          <w:color w:val="auto"/>
        </w:rPr>
      </w:pPr>
      <w:r w:rsidRPr="0092423C">
        <w:rPr>
          <w:rStyle w:val="fontstyle21"/>
          <w:rFonts w:ascii="Arial" w:hAnsi="Arial" w:cs="Arial"/>
          <w:color w:val="auto"/>
        </w:rPr>
        <w:t>While the Board recognise that neither they, the LGA or the Home Office can provide</w:t>
      </w:r>
      <w:r w:rsidR="00BB2CCB" w:rsidRPr="0092423C">
        <w:rPr>
          <w:rStyle w:val="fontstyle21"/>
          <w:rFonts w:ascii="Arial" w:hAnsi="Arial" w:cs="Arial"/>
          <w:color w:val="auto"/>
        </w:rPr>
        <w:t xml:space="preserve"> </w:t>
      </w:r>
      <w:r w:rsidRPr="0092423C">
        <w:rPr>
          <w:rStyle w:val="fontstyle21"/>
          <w:rFonts w:ascii="Arial" w:hAnsi="Arial" w:cs="Arial"/>
          <w:color w:val="auto"/>
        </w:rPr>
        <w:t>a definitive interpretation of the regulations as only a court can provide a definitive</w:t>
      </w:r>
      <w:r w:rsidR="00BB2CCB" w:rsidRPr="0092423C">
        <w:rPr>
          <w:rStyle w:val="fontstyle21"/>
          <w:rFonts w:ascii="Arial" w:hAnsi="Arial" w:cs="Arial"/>
          <w:color w:val="auto"/>
        </w:rPr>
        <w:t xml:space="preserve"> </w:t>
      </w:r>
      <w:r w:rsidRPr="0092423C">
        <w:rPr>
          <w:rStyle w:val="fontstyle21"/>
          <w:rFonts w:ascii="Arial" w:hAnsi="Arial" w:cs="Arial"/>
          <w:color w:val="auto"/>
        </w:rPr>
        <w:t>interpretation of legislation, they are satisfied that the regulation wording should not</w:t>
      </w:r>
      <w:r w:rsidR="00BB2CCB" w:rsidRPr="0092423C">
        <w:rPr>
          <w:rStyle w:val="fontstyle21"/>
          <w:rFonts w:ascii="Arial" w:hAnsi="Arial" w:cs="Arial"/>
          <w:color w:val="auto"/>
        </w:rPr>
        <w:t xml:space="preserve"> </w:t>
      </w:r>
      <w:r w:rsidRPr="0092423C">
        <w:rPr>
          <w:rStyle w:val="fontstyle21"/>
          <w:rFonts w:ascii="Arial" w:hAnsi="Arial" w:cs="Arial"/>
          <w:color w:val="auto"/>
        </w:rPr>
        <w:t>prevent IQMPs from giving an opinion on both schemes, citing the example that this</w:t>
      </w:r>
      <w:r w:rsidR="00BB2CCB" w:rsidRPr="0092423C">
        <w:rPr>
          <w:rStyle w:val="fontstyle21"/>
          <w:rFonts w:ascii="Arial" w:hAnsi="Arial" w:cs="Arial"/>
          <w:color w:val="auto"/>
        </w:rPr>
        <w:t xml:space="preserve"> </w:t>
      </w:r>
      <w:r w:rsidRPr="0092423C">
        <w:rPr>
          <w:rStyle w:val="fontstyle21"/>
          <w:rFonts w:ascii="Arial" w:hAnsi="Arial" w:cs="Arial"/>
          <w:color w:val="auto"/>
        </w:rPr>
        <w:t xml:space="preserve">is currently the position for injury and ill-health retirements or deferred pension </w:t>
      </w:r>
      <w:proofErr w:type="spellStart"/>
      <w:r w:rsidRPr="0092423C">
        <w:rPr>
          <w:rStyle w:val="fontstyle21"/>
          <w:rFonts w:ascii="Arial" w:hAnsi="Arial" w:cs="Arial"/>
          <w:color w:val="auto"/>
        </w:rPr>
        <w:t>illhealth</w:t>
      </w:r>
      <w:proofErr w:type="spellEnd"/>
      <w:r w:rsidRPr="0092423C">
        <w:rPr>
          <w:rStyle w:val="fontstyle21"/>
          <w:rFonts w:ascii="Arial" w:hAnsi="Arial" w:cs="Arial"/>
          <w:color w:val="auto"/>
        </w:rPr>
        <w:t xml:space="preserve"> retirements, where the IQMP assesses the member under both the</w:t>
      </w:r>
      <w:r w:rsidR="00BB2CCB" w:rsidRPr="0092423C">
        <w:rPr>
          <w:rStyle w:val="fontstyle21"/>
          <w:rFonts w:ascii="Arial" w:hAnsi="Arial" w:cs="Arial"/>
          <w:color w:val="auto"/>
        </w:rPr>
        <w:t xml:space="preserve"> </w:t>
      </w:r>
      <w:r w:rsidRPr="0092423C">
        <w:rPr>
          <w:rStyle w:val="fontstyle21"/>
          <w:rFonts w:ascii="Arial" w:hAnsi="Arial" w:cs="Arial"/>
          <w:color w:val="auto"/>
        </w:rPr>
        <w:t>compensation scheme and pension scheme, or from both pension schemes for a</w:t>
      </w:r>
      <w:r w:rsidR="00BB2CCB" w:rsidRPr="0092423C">
        <w:rPr>
          <w:rStyle w:val="fontstyle21"/>
          <w:rFonts w:ascii="Arial" w:hAnsi="Arial" w:cs="Arial"/>
          <w:color w:val="auto"/>
        </w:rPr>
        <w:t xml:space="preserve"> </w:t>
      </w:r>
      <w:r w:rsidRPr="0092423C">
        <w:rPr>
          <w:rStyle w:val="fontstyle21"/>
          <w:rFonts w:ascii="Arial" w:hAnsi="Arial" w:cs="Arial"/>
          <w:color w:val="auto"/>
        </w:rPr>
        <w:t>deferred members retirement.</w:t>
      </w:r>
      <w:r w:rsidR="00BB2CCB" w:rsidRPr="0092423C">
        <w:rPr>
          <w:rStyle w:val="fontstyle21"/>
          <w:rFonts w:ascii="Arial" w:hAnsi="Arial" w:cs="Arial"/>
          <w:color w:val="auto"/>
        </w:rPr>
        <w:t xml:space="preserve"> </w:t>
      </w:r>
      <w:r w:rsidRPr="0092423C">
        <w:rPr>
          <w:rStyle w:val="fontstyle21"/>
          <w:rFonts w:ascii="Arial" w:hAnsi="Arial" w:cs="Arial"/>
          <w:color w:val="auto"/>
        </w:rPr>
        <w:t>In consideration of the question on the ability of the IQMP to make an assessment</w:t>
      </w:r>
      <w:r w:rsidR="00BB2CCB" w:rsidRPr="0092423C">
        <w:rPr>
          <w:rStyle w:val="fontstyle21"/>
          <w:rFonts w:ascii="Arial" w:hAnsi="Arial" w:cs="Arial"/>
          <w:color w:val="auto"/>
        </w:rPr>
        <w:t xml:space="preserve"> </w:t>
      </w:r>
      <w:r w:rsidRPr="0092423C">
        <w:rPr>
          <w:rStyle w:val="fontstyle21"/>
          <w:rFonts w:ascii="Arial" w:hAnsi="Arial" w:cs="Arial"/>
          <w:color w:val="auto"/>
        </w:rPr>
        <w:t>under both the legacy and reformed schemes, the Board confirm that IQMPs may</w:t>
      </w:r>
      <w:r w:rsidR="00BB2CCB" w:rsidRPr="0092423C">
        <w:rPr>
          <w:rStyle w:val="fontstyle21"/>
          <w:rFonts w:ascii="Arial" w:hAnsi="Arial" w:cs="Arial"/>
          <w:color w:val="auto"/>
        </w:rPr>
        <w:t xml:space="preserve"> </w:t>
      </w:r>
      <w:r w:rsidRPr="0092423C">
        <w:rPr>
          <w:rStyle w:val="fontstyle21"/>
          <w:rFonts w:ascii="Arial" w:hAnsi="Arial" w:cs="Arial"/>
          <w:color w:val="auto"/>
        </w:rPr>
        <w:t>assess the same member against the criteria of multiple schemes for recognised</w:t>
      </w:r>
      <w:r w:rsidR="00BB2CCB" w:rsidRPr="0092423C">
        <w:rPr>
          <w:rStyle w:val="fontstyle21"/>
          <w:rFonts w:ascii="Arial" w:hAnsi="Arial" w:cs="Arial"/>
          <w:color w:val="auto"/>
        </w:rPr>
        <w:t xml:space="preserve"> </w:t>
      </w:r>
      <w:r w:rsidRPr="0092423C">
        <w:rPr>
          <w:rStyle w:val="fontstyle21"/>
          <w:rFonts w:ascii="Arial" w:hAnsi="Arial" w:cs="Arial"/>
          <w:color w:val="auto"/>
        </w:rPr>
        <w:t>purposes including injury awards under the compensation schemes, transitional</w:t>
      </w:r>
      <w:r w:rsidR="00BB2CCB" w:rsidRPr="0092423C">
        <w:rPr>
          <w:rStyle w:val="fontstyle21"/>
          <w:rFonts w:ascii="Arial" w:hAnsi="Arial" w:cs="Arial"/>
          <w:color w:val="auto"/>
        </w:rPr>
        <w:t xml:space="preserve"> </w:t>
      </w:r>
      <w:r w:rsidRPr="0092423C">
        <w:rPr>
          <w:rStyle w:val="fontstyle21"/>
          <w:rFonts w:ascii="Arial" w:hAnsi="Arial" w:cs="Arial"/>
          <w:color w:val="auto"/>
        </w:rPr>
        <w:t>deferred benefits, and age discrimination remedy.”</w:t>
      </w:r>
    </w:p>
    <w:p w14:paraId="63F8B762" w14:textId="77777777" w:rsidR="00FF5299" w:rsidRPr="0092423C" w:rsidRDefault="00FF5299" w:rsidP="00856D1A">
      <w:pPr>
        <w:pStyle w:val="NoSpacing"/>
        <w:ind w:left="709"/>
        <w:jc w:val="both"/>
        <w:rPr>
          <w:rStyle w:val="fontstyle21"/>
          <w:rFonts w:ascii="Arial" w:hAnsi="Arial" w:cs="Arial"/>
          <w:color w:val="auto"/>
        </w:rPr>
      </w:pPr>
    </w:p>
    <w:p w14:paraId="732FA514" w14:textId="77777777" w:rsidR="00E90F5D" w:rsidRPr="0092423C" w:rsidRDefault="00FF5299" w:rsidP="00856D1A">
      <w:pPr>
        <w:pStyle w:val="NoSpacing"/>
        <w:ind w:left="709"/>
        <w:jc w:val="both"/>
        <w:rPr>
          <w:rStyle w:val="fontstyle01"/>
          <w:rFonts w:ascii="Arial" w:hAnsi="Arial" w:cs="Arial"/>
          <w:b/>
          <w:bCs/>
          <w:color w:val="auto"/>
        </w:rPr>
      </w:pPr>
      <w:r w:rsidRPr="0092423C">
        <w:rPr>
          <w:rStyle w:val="fontstyle01"/>
          <w:rFonts w:ascii="Arial" w:hAnsi="Arial" w:cs="Arial"/>
          <w:b/>
          <w:bCs/>
          <w:color w:val="auto"/>
        </w:rPr>
        <w:t>TPR six key processes factsheet 2021</w:t>
      </w:r>
      <w:r w:rsidR="00DC3074" w:rsidRPr="0092423C">
        <w:rPr>
          <w:rStyle w:val="fontstyle01"/>
          <w:rFonts w:ascii="Arial" w:hAnsi="Arial" w:cs="Arial"/>
          <w:b/>
          <w:bCs/>
          <w:color w:val="auto"/>
        </w:rPr>
        <w:t xml:space="preserve"> </w:t>
      </w:r>
    </w:p>
    <w:p w14:paraId="346ABFB5" w14:textId="14649EE0" w:rsidR="00327799" w:rsidRPr="0092423C" w:rsidRDefault="00FF5299" w:rsidP="00856D1A">
      <w:pPr>
        <w:pStyle w:val="NoSpacing"/>
        <w:ind w:left="709"/>
        <w:jc w:val="both"/>
        <w:rPr>
          <w:rStyle w:val="fontstyle21"/>
          <w:rFonts w:ascii="Arial" w:hAnsi="Arial" w:cs="Arial"/>
          <w:color w:val="auto"/>
        </w:rPr>
      </w:pPr>
      <w:r w:rsidRPr="0092423C">
        <w:rPr>
          <w:rStyle w:val="fontstyle21"/>
          <w:rFonts w:ascii="Arial" w:hAnsi="Arial" w:cs="Arial"/>
          <w:color w:val="auto"/>
        </w:rPr>
        <w:t>We advised readers in FPS Bulletin 39 – November 2020 that the results of the 2019</w:t>
      </w:r>
      <w:r w:rsidR="00DC3074" w:rsidRPr="0092423C">
        <w:rPr>
          <w:rStyle w:val="fontstyle21"/>
          <w:rFonts w:ascii="Arial" w:hAnsi="Arial" w:cs="Arial"/>
          <w:color w:val="auto"/>
        </w:rPr>
        <w:t xml:space="preserve"> </w:t>
      </w:r>
      <w:r w:rsidRPr="0092423C">
        <w:rPr>
          <w:rStyle w:val="fontstyle21"/>
          <w:rFonts w:ascii="Arial" w:hAnsi="Arial" w:cs="Arial"/>
          <w:color w:val="auto"/>
        </w:rPr>
        <w:t>Governance and Administration survey had been published by the Pensions</w:t>
      </w:r>
      <w:r w:rsidR="00DC3074" w:rsidRPr="0092423C">
        <w:rPr>
          <w:rStyle w:val="fontstyle21"/>
          <w:rFonts w:ascii="Arial" w:hAnsi="Arial" w:cs="Arial"/>
          <w:color w:val="auto"/>
        </w:rPr>
        <w:t xml:space="preserve"> </w:t>
      </w:r>
      <w:r w:rsidRPr="0092423C">
        <w:rPr>
          <w:rStyle w:val="fontstyle21"/>
          <w:rFonts w:ascii="Arial" w:hAnsi="Arial" w:cs="Arial"/>
          <w:color w:val="auto"/>
        </w:rPr>
        <w:t>Regulator (TPR).</w:t>
      </w:r>
      <w:r w:rsidR="00DC3074" w:rsidRPr="0092423C">
        <w:rPr>
          <w:rStyle w:val="fontstyle21"/>
          <w:rFonts w:ascii="Arial" w:hAnsi="Arial" w:cs="Arial"/>
          <w:color w:val="auto"/>
        </w:rPr>
        <w:t xml:space="preserve"> </w:t>
      </w:r>
    </w:p>
    <w:p w14:paraId="5DDF96FF" w14:textId="77777777" w:rsidR="00327799" w:rsidRPr="0092423C" w:rsidRDefault="00327799" w:rsidP="00856D1A">
      <w:pPr>
        <w:pStyle w:val="NoSpacing"/>
        <w:ind w:left="709"/>
        <w:jc w:val="both"/>
        <w:rPr>
          <w:rStyle w:val="fontstyle21"/>
          <w:rFonts w:ascii="Arial" w:hAnsi="Arial" w:cs="Arial"/>
          <w:color w:val="auto"/>
        </w:rPr>
      </w:pPr>
    </w:p>
    <w:p w14:paraId="255E5230" w14:textId="77777777" w:rsidR="00327799" w:rsidRPr="0092423C" w:rsidRDefault="00FF5299" w:rsidP="00856D1A">
      <w:pPr>
        <w:pStyle w:val="NoSpacing"/>
        <w:ind w:left="709"/>
        <w:jc w:val="both"/>
        <w:rPr>
          <w:rStyle w:val="fontstyle21"/>
          <w:rFonts w:ascii="Arial" w:hAnsi="Arial" w:cs="Arial"/>
          <w:color w:val="auto"/>
        </w:rPr>
      </w:pPr>
      <w:r w:rsidRPr="0092423C">
        <w:rPr>
          <w:rStyle w:val="fontstyle21"/>
          <w:rFonts w:ascii="Arial" w:hAnsi="Arial" w:cs="Arial"/>
          <w:color w:val="auto"/>
        </w:rPr>
        <w:t>As part of the annual survey, TPR measures six processes as key indicators of</w:t>
      </w:r>
      <w:r w:rsidR="00327799" w:rsidRPr="0092423C">
        <w:rPr>
          <w:rStyle w:val="fontstyle21"/>
          <w:rFonts w:ascii="Arial" w:hAnsi="Arial" w:cs="Arial"/>
          <w:color w:val="auto"/>
        </w:rPr>
        <w:t xml:space="preserve"> </w:t>
      </w:r>
      <w:r w:rsidRPr="0092423C">
        <w:rPr>
          <w:rStyle w:val="fontstyle21"/>
          <w:rFonts w:ascii="Arial" w:hAnsi="Arial" w:cs="Arial"/>
          <w:color w:val="auto"/>
        </w:rPr>
        <w:t>public service pension scheme performance.</w:t>
      </w:r>
      <w:r w:rsidR="00327799" w:rsidRPr="0092423C">
        <w:rPr>
          <w:rStyle w:val="fontstyle21"/>
          <w:rFonts w:ascii="Arial" w:hAnsi="Arial" w:cs="Arial"/>
          <w:color w:val="auto"/>
        </w:rPr>
        <w:t xml:space="preserve"> </w:t>
      </w:r>
      <w:r w:rsidRPr="0092423C">
        <w:rPr>
          <w:rStyle w:val="fontstyle21"/>
          <w:rFonts w:ascii="Arial" w:hAnsi="Arial" w:cs="Arial"/>
          <w:color w:val="auto"/>
        </w:rPr>
        <w:t>The six processes are:</w:t>
      </w:r>
      <w:r w:rsidR="00327799" w:rsidRPr="0092423C">
        <w:rPr>
          <w:rStyle w:val="fontstyle21"/>
          <w:rFonts w:ascii="Arial" w:hAnsi="Arial" w:cs="Arial"/>
          <w:color w:val="auto"/>
        </w:rPr>
        <w:t xml:space="preserve"> </w:t>
      </w:r>
    </w:p>
    <w:p w14:paraId="0FDC7606" w14:textId="77777777" w:rsidR="00327799" w:rsidRPr="0092423C" w:rsidRDefault="00327799" w:rsidP="00856D1A">
      <w:pPr>
        <w:pStyle w:val="NoSpacing"/>
        <w:ind w:left="709"/>
        <w:jc w:val="both"/>
        <w:rPr>
          <w:rStyle w:val="fontstyle21"/>
          <w:rFonts w:ascii="Arial" w:hAnsi="Arial" w:cs="Arial"/>
          <w:color w:val="auto"/>
        </w:rPr>
      </w:pPr>
    </w:p>
    <w:p w14:paraId="39D2C690" w14:textId="77777777" w:rsidR="00327799" w:rsidRPr="0092423C" w:rsidRDefault="00FF5299" w:rsidP="00856D1A">
      <w:pPr>
        <w:pStyle w:val="NoSpacing"/>
        <w:ind w:left="709"/>
        <w:jc w:val="both"/>
        <w:rPr>
          <w:rStyle w:val="fontstyle21"/>
          <w:rFonts w:ascii="Arial" w:hAnsi="Arial" w:cs="Arial"/>
          <w:color w:val="auto"/>
        </w:rPr>
      </w:pPr>
      <w:r w:rsidRPr="0092423C">
        <w:rPr>
          <w:rStyle w:val="fontstyle21"/>
          <w:rFonts w:ascii="Arial" w:hAnsi="Arial" w:cs="Arial"/>
          <w:color w:val="auto"/>
        </w:rPr>
        <w:t xml:space="preserve">1. Documented policy to manage board members conflicts of </w:t>
      </w:r>
      <w:proofErr w:type="gramStart"/>
      <w:r w:rsidRPr="0092423C">
        <w:rPr>
          <w:rStyle w:val="fontstyle21"/>
          <w:rFonts w:ascii="Arial" w:hAnsi="Arial" w:cs="Arial"/>
          <w:color w:val="auto"/>
        </w:rPr>
        <w:t>interest</w:t>
      </w:r>
      <w:proofErr w:type="gramEnd"/>
      <w:r w:rsidR="00327799" w:rsidRPr="0092423C">
        <w:rPr>
          <w:rStyle w:val="fontstyle21"/>
          <w:rFonts w:ascii="Arial" w:hAnsi="Arial" w:cs="Arial"/>
          <w:color w:val="auto"/>
        </w:rPr>
        <w:t xml:space="preserve"> </w:t>
      </w:r>
    </w:p>
    <w:p w14:paraId="563DBA04" w14:textId="77777777" w:rsidR="00327799" w:rsidRPr="0092423C" w:rsidRDefault="00FF5299" w:rsidP="00856D1A">
      <w:pPr>
        <w:pStyle w:val="NoSpacing"/>
        <w:ind w:left="709"/>
        <w:jc w:val="both"/>
        <w:rPr>
          <w:rStyle w:val="fontstyle21"/>
          <w:rFonts w:ascii="Arial" w:hAnsi="Arial" w:cs="Arial"/>
          <w:color w:val="auto"/>
        </w:rPr>
      </w:pPr>
      <w:r w:rsidRPr="0092423C">
        <w:rPr>
          <w:rStyle w:val="fontstyle21"/>
          <w:rFonts w:ascii="Arial" w:hAnsi="Arial" w:cs="Arial"/>
          <w:color w:val="auto"/>
        </w:rPr>
        <w:t>2. Access to knowledge, understanding and skills needed to properly run the</w:t>
      </w:r>
      <w:r w:rsidR="00327799" w:rsidRPr="0092423C">
        <w:rPr>
          <w:rStyle w:val="fontstyle21"/>
          <w:rFonts w:ascii="Arial" w:hAnsi="Arial" w:cs="Arial"/>
          <w:color w:val="auto"/>
        </w:rPr>
        <w:t xml:space="preserve"> </w:t>
      </w:r>
      <w:proofErr w:type="gramStart"/>
      <w:r w:rsidRPr="0092423C">
        <w:rPr>
          <w:rStyle w:val="fontstyle21"/>
          <w:rFonts w:ascii="Arial" w:hAnsi="Arial" w:cs="Arial"/>
          <w:color w:val="auto"/>
        </w:rPr>
        <w:t>scheme</w:t>
      </w:r>
      <w:proofErr w:type="gramEnd"/>
      <w:r w:rsidR="00327799" w:rsidRPr="0092423C">
        <w:rPr>
          <w:rStyle w:val="fontstyle21"/>
          <w:rFonts w:ascii="Arial" w:hAnsi="Arial" w:cs="Arial"/>
          <w:color w:val="auto"/>
        </w:rPr>
        <w:t xml:space="preserve"> </w:t>
      </w:r>
    </w:p>
    <w:p w14:paraId="2C911282" w14:textId="77777777" w:rsidR="00327799" w:rsidRPr="0092423C" w:rsidRDefault="00FF5299" w:rsidP="00856D1A">
      <w:pPr>
        <w:pStyle w:val="NoSpacing"/>
        <w:ind w:left="709"/>
        <w:jc w:val="both"/>
        <w:rPr>
          <w:rStyle w:val="fontstyle21"/>
          <w:rFonts w:ascii="Arial" w:hAnsi="Arial" w:cs="Arial"/>
          <w:color w:val="auto"/>
        </w:rPr>
      </w:pPr>
      <w:r w:rsidRPr="0092423C">
        <w:rPr>
          <w:rStyle w:val="fontstyle21"/>
          <w:rFonts w:ascii="Arial" w:hAnsi="Arial" w:cs="Arial"/>
          <w:color w:val="auto"/>
        </w:rPr>
        <w:t xml:space="preserve">3. Documented procedures for assessing and managing </w:t>
      </w:r>
      <w:proofErr w:type="gramStart"/>
      <w:r w:rsidRPr="0092423C">
        <w:rPr>
          <w:rStyle w:val="fontstyle21"/>
          <w:rFonts w:ascii="Arial" w:hAnsi="Arial" w:cs="Arial"/>
          <w:color w:val="auto"/>
        </w:rPr>
        <w:t>risks</w:t>
      </w:r>
      <w:proofErr w:type="gramEnd"/>
      <w:r w:rsidR="00327799" w:rsidRPr="0092423C">
        <w:rPr>
          <w:rStyle w:val="fontstyle21"/>
          <w:rFonts w:ascii="Arial" w:hAnsi="Arial" w:cs="Arial"/>
          <w:color w:val="auto"/>
        </w:rPr>
        <w:t xml:space="preserve"> </w:t>
      </w:r>
    </w:p>
    <w:p w14:paraId="266340F1" w14:textId="77777777" w:rsidR="00327799" w:rsidRPr="0092423C" w:rsidRDefault="00FF5299" w:rsidP="00856D1A">
      <w:pPr>
        <w:pStyle w:val="NoSpacing"/>
        <w:ind w:left="709"/>
        <w:jc w:val="both"/>
        <w:rPr>
          <w:rStyle w:val="fontstyle21"/>
          <w:rFonts w:ascii="Arial" w:hAnsi="Arial" w:cs="Arial"/>
          <w:color w:val="auto"/>
        </w:rPr>
      </w:pPr>
      <w:r w:rsidRPr="0092423C">
        <w:rPr>
          <w:rStyle w:val="fontstyle21"/>
          <w:rFonts w:ascii="Arial" w:hAnsi="Arial" w:cs="Arial"/>
          <w:color w:val="auto"/>
        </w:rPr>
        <w:t xml:space="preserve">4. Process to monitor records for accuracy / </w:t>
      </w:r>
      <w:proofErr w:type="gramStart"/>
      <w:r w:rsidRPr="0092423C">
        <w:rPr>
          <w:rStyle w:val="fontstyle21"/>
          <w:rFonts w:ascii="Arial" w:hAnsi="Arial" w:cs="Arial"/>
          <w:color w:val="auto"/>
        </w:rPr>
        <w:t>completeness</w:t>
      </w:r>
      <w:proofErr w:type="gramEnd"/>
      <w:r w:rsidR="00327799" w:rsidRPr="0092423C">
        <w:rPr>
          <w:rStyle w:val="fontstyle21"/>
          <w:rFonts w:ascii="Arial" w:hAnsi="Arial" w:cs="Arial"/>
          <w:color w:val="auto"/>
        </w:rPr>
        <w:t xml:space="preserve"> </w:t>
      </w:r>
    </w:p>
    <w:p w14:paraId="465983F7" w14:textId="77777777" w:rsidR="003C6E13" w:rsidRPr="0092423C" w:rsidRDefault="00FF5299" w:rsidP="00856D1A">
      <w:pPr>
        <w:pStyle w:val="NoSpacing"/>
        <w:ind w:left="709"/>
        <w:jc w:val="both"/>
        <w:rPr>
          <w:rStyle w:val="fontstyle21"/>
          <w:rFonts w:ascii="Arial" w:hAnsi="Arial" w:cs="Arial"/>
          <w:color w:val="auto"/>
        </w:rPr>
      </w:pPr>
      <w:r w:rsidRPr="0092423C">
        <w:rPr>
          <w:rStyle w:val="fontstyle21"/>
          <w:rFonts w:ascii="Arial" w:hAnsi="Arial" w:cs="Arial"/>
          <w:color w:val="auto"/>
        </w:rPr>
        <w:t xml:space="preserve">5. Process for resolving contribution payment </w:t>
      </w:r>
      <w:proofErr w:type="gramStart"/>
      <w:r w:rsidRPr="0092423C">
        <w:rPr>
          <w:rStyle w:val="fontstyle21"/>
          <w:rFonts w:ascii="Arial" w:hAnsi="Arial" w:cs="Arial"/>
          <w:color w:val="auto"/>
        </w:rPr>
        <w:t>issues</w:t>
      </w:r>
      <w:proofErr w:type="gramEnd"/>
      <w:r w:rsidR="00327799" w:rsidRPr="0092423C">
        <w:rPr>
          <w:rStyle w:val="fontstyle21"/>
          <w:rFonts w:ascii="Arial" w:hAnsi="Arial" w:cs="Arial"/>
          <w:color w:val="auto"/>
        </w:rPr>
        <w:t xml:space="preserve"> </w:t>
      </w:r>
    </w:p>
    <w:p w14:paraId="4EDB2570" w14:textId="77777777" w:rsidR="003C6E13" w:rsidRPr="0092423C" w:rsidRDefault="00FF5299" w:rsidP="00856D1A">
      <w:pPr>
        <w:pStyle w:val="NoSpacing"/>
        <w:ind w:left="709"/>
        <w:jc w:val="both"/>
        <w:rPr>
          <w:rStyle w:val="fontstyle21"/>
          <w:rFonts w:ascii="Arial" w:hAnsi="Arial" w:cs="Arial"/>
          <w:color w:val="auto"/>
        </w:rPr>
      </w:pPr>
      <w:r w:rsidRPr="0092423C">
        <w:rPr>
          <w:rStyle w:val="fontstyle21"/>
          <w:rFonts w:ascii="Arial" w:hAnsi="Arial" w:cs="Arial"/>
          <w:color w:val="auto"/>
        </w:rPr>
        <w:lastRenderedPageBreak/>
        <w:t xml:space="preserve">6. Procedures to identify, assess and report breaches of the </w:t>
      </w:r>
      <w:proofErr w:type="gramStart"/>
      <w:r w:rsidRPr="0092423C">
        <w:rPr>
          <w:rStyle w:val="fontstyle21"/>
          <w:rFonts w:ascii="Arial" w:hAnsi="Arial" w:cs="Arial"/>
          <w:color w:val="auto"/>
        </w:rPr>
        <w:t>law</w:t>
      </w:r>
      <w:proofErr w:type="gramEnd"/>
      <w:r w:rsidR="003C6E13" w:rsidRPr="0092423C">
        <w:rPr>
          <w:rStyle w:val="fontstyle21"/>
          <w:rFonts w:ascii="Arial" w:hAnsi="Arial" w:cs="Arial"/>
          <w:color w:val="auto"/>
        </w:rPr>
        <w:t xml:space="preserve"> </w:t>
      </w:r>
    </w:p>
    <w:p w14:paraId="2C37BDDC" w14:textId="77777777" w:rsidR="003C6E13" w:rsidRPr="0092423C" w:rsidRDefault="003C6E13" w:rsidP="00856D1A">
      <w:pPr>
        <w:pStyle w:val="NoSpacing"/>
        <w:ind w:left="709"/>
        <w:jc w:val="both"/>
        <w:rPr>
          <w:rStyle w:val="fontstyle21"/>
          <w:rFonts w:ascii="Arial" w:hAnsi="Arial" w:cs="Arial"/>
          <w:color w:val="auto"/>
        </w:rPr>
      </w:pPr>
    </w:p>
    <w:p w14:paraId="57A00D48" w14:textId="282D0782" w:rsidR="00FF5299" w:rsidRPr="0092423C" w:rsidRDefault="00FF5299" w:rsidP="00856D1A">
      <w:pPr>
        <w:pStyle w:val="NoSpacing"/>
        <w:ind w:left="709"/>
        <w:jc w:val="both"/>
        <w:rPr>
          <w:rStyle w:val="fontstyle21"/>
          <w:rFonts w:ascii="Arial" w:hAnsi="Arial" w:cs="Arial"/>
          <w:color w:val="auto"/>
        </w:rPr>
      </w:pPr>
      <w:r w:rsidRPr="0092423C">
        <w:rPr>
          <w:rStyle w:val="fontstyle21"/>
          <w:rFonts w:ascii="Arial" w:hAnsi="Arial" w:cs="Arial"/>
          <w:color w:val="auto"/>
        </w:rPr>
        <w:t>In 2019, 55 per cent of Firefighters’ schemes across the UK reported having all six</w:t>
      </w:r>
      <w:r w:rsidR="003C6E13" w:rsidRPr="0092423C">
        <w:rPr>
          <w:rStyle w:val="fontstyle21"/>
          <w:rFonts w:ascii="Arial" w:hAnsi="Arial" w:cs="Arial"/>
          <w:color w:val="auto"/>
        </w:rPr>
        <w:t xml:space="preserve"> </w:t>
      </w:r>
      <w:r w:rsidRPr="0092423C">
        <w:rPr>
          <w:rStyle w:val="fontstyle21"/>
          <w:rFonts w:ascii="Arial" w:hAnsi="Arial" w:cs="Arial"/>
          <w:color w:val="auto"/>
        </w:rPr>
        <w:t>processes in place. This had reduced from 63 per cent in 2018.</w:t>
      </w:r>
    </w:p>
    <w:p w14:paraId="322A6577" w14:textId="77777777" w:rsidR="00FF5299" w:rsidRPr="0092423C" w:rsidRDefault="00FF5299" w:rsidP="00856D1A">
      <w:pPr>
        <w:pStyle w:val="NoSpacing"/>
        <w:ind w:left="709"/>
        <w:jc w:val="both"/>
        <w:rPr>
          <w:rStyle w:val="fontstyle21"/>
          <w:rFonts w:ascii="Arial" w:hAnsi="Arial" w:cs="Arial"/>
          <w:color w:val="auto"/>
        </w:rPr>
      </w:pPr>
    </w:p>
    <w:p w14:paraId="1F8345B2" w14:textId="09CBB0D4" w:rsidR="00FF5299" w:rsidRPr="0092423C" w:rsidRDefault="00FF5299" w:rsidP="00856D1A">
      <w:pPr>
        <w:pStyle w:val="NoSpacing"/>
        <w:ind w:left="709"/>
        <w:jc w:val="both"/>
        <w:rPr>
          <w:rFonts w:ascii="Arial" w:hAnsi="Arial" w:cs="Arial"/>
        </w:rPr>
      </w:pPr>
      <w:r w:rsidRPr="0092423C">
        <w:rPr>
          <w:rFonts w:ascii="Arial" w:hAnsi="Arial" w:cs="Arial"/>
        </w:rPr>
        <w:t xml:space="preserve">Figure 1: Spider graph showing schemes' performance against the six key </w:t>
      </w:r>
      <w:proofErr w:type="gramStart"/>
      <w:r w:rsidRPr="0092423C">
        <w:rPr>
          <w:rFonts w:ascii="Arial" w:hAnsi="Arial" w:cs="Arial"/>
        </w:rPr>
        <w:t>indicators</w:t>
      </w:r>
      <w:proofErr w:type="gramEnd"/>
    </w:p>
    <w:p w14:paraId="664B7D3F" w14:textId="7910B79E" w:rsidR="007568F3" w:rsidRPr="0092423C" w:rsidRDefault="007568F3" w:rsidP="00856D1A">
      <w:pPr>
        <w:pStyle w:val="NoSpacing"/>
        <w:ind w:left="709"/>
        <w:jc w:val="both"/>
        <w:rPr>
          <w:rFonts w:ascii="Arial" w:hAnsi="Arial" w:cs="Arial"/>
        </w:rPr>
      </w:pPr>
    </w:p>
    <w:p w14:paraId="11613185" w14:textId="77777777" w:rsidR="007568F3" w:rsidRPr="0092423C" w:rsidRDefault="007568F3" w:rsidP="00856D1A">
      <w:pPr>
        <w:pStyle w:val="NoSpacing"/>
        <w:ind w:left="709"/>
        <w:jc w:val="both"/>
        <w:rPr>
          <w:rFonts w:ascii="Arial" w:hAnsi="Arial" w:cs="Arial"/>
        </w:rPr>
      </w:pPr>
    </w:p>
    <w:p w14:paraId="0A1591BD" w14:textId="77777777" w:rsidR="00FF5299" w:rsidRPr="0092423C" w:rsidRDefault="00FF5299" w:rsidP="003276D0">
      <w:pPr>
        <w:pStyle w:val="NoSpacing"/>
        <w:jc w:val="right"/>
        <w:rPr>
          <w:rFonts w:ascii="Arial" w:hAnsi="Arial" w:cs="Arial"/>
        </w:rPr>
      </w:pPr>
      <w:r w:rsidRPr="0092423C">
        <w:rPr>
          <w:rFonts w:ascii="Arial" w:hAnsi="Arial" w:cs="Arial"/>
          <w:noProof/>
        </w:rPr>
        <w:drawing>
          <wp:inline distT="0" distB="0" distL="0" distR="0" wp14:anchorId="2B2EEBE0" wp14:editId="1B029109">
            <wp:extent cx="5263515" cy="25114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45481" cy="2550534"/>
                    </a:xfrm>
                    <a:prstGeom prst="rect">
                      <a:avLst/>
                    </a:prstGeom>
                  </pic:spPr>
                </pic:pic>
              </a:graphicData>
            </a:graphic>
          </wp:inline>
        </w:drawing>
      </w:r>
    </w:p>
    <w:p w14:paraId="557710DD" w14:textId="77777777" w:rsidR="0019350C" w:rsidRPr="0092423C" w:rsidRDefault="00FF5299" w:rsidP="008E7C38">
      <w:pPr>
        <w:pStyle w:val="NoSpacing"/>
        <w:ind w:left="709"/>
        <w:jc w:val="both"/>
        <w:rPr>
          <w:rFonts w:ascii="Arial" w:hAnsi="Arial" w:cs="Arial"/>
        </w:rPr>
      </w:pPr>
      <w:r w:rsidRPr="0092423C">
        <w:rPr>
          <w:rFonts w:ascii="Arial" w:hAnsi="Arial" w:cs="Arial"/>
        </w:rPr>
        <w:t>Source: Local Pension Board Wrap Up Training 2020 [slide 29]</w:t>
      </w:r>
      <w:r w:rsidR="00E734A3" w:rsidRPr="0092423C">
        <w:rPr>
          <w:rFonts w:ascii="Arial" w:hAnsi="Arial" w:cs="Arial"/>
        </w:rPr>
        <w:t xml:space="preserve"> </w:t>
      </w:r>
    </w:p>
    <w:p w14:paraId="49BEE0B2" w14:textId="77777777" w:rsidR="00AE690C" w:rsidRPr="0092423C" w:rsidRDefault="00AE690C" w:rsidP="008E7C38">
      <w:pPr>
        <w:pStyle w:val="NoSpacing"/>
        <w:ind w:left="709"/>
        <w:jc w:val="both"/>
        <w:rPr>
          <w:rFonts w:ascii="Arial" w:hAnsi="Arial" w:cs="Arial"/>
        </w:rPr>
      </w:pPr>
    </w:p>
    <w:p w14:paraId="0287D3A3" w14:textId="3699EA50" w:rsidR="00FF5299" w:rsidRPr="0092423C" w:rsidRDefault="00FF5299" w:rsidP="008E7C38">
      <w:pPr>
        <w:pStyle w:val="NoSpacing"/>
        <w:ind w:left="709"/>
        <w:jc w:val="both"/>
        <w:rPr>
          <w:rFonts w:ascii="Arial" w:hAnsi="Arial" w:cs="Arial"/>
        </w:rPr>
      </w:pPr>
      <w:r w:rsidRPr="0092423C">
        <w:rPr>
          <w:rFonts w:ascii="Arial" w:hAnsi="Arial" w:cs="Arial"/>
        </w:rPr>
        <w:t>We have refreshed our six key processes factsheet to reflect the most recent results</w:t>
      </w:r>
      <w:r w:rsidR="00E734A3" w:rsidRPr="0092423C">
        <w:rPr>
          <w:rFonts w:ascii="Arial" w:hAnsi="Arial" w:cs="Arial"/>
        </w:rPr>
        <w:t xml:space="preserve"> </w:t>
      </w:r>
      <w:r w:rsidRPr="0092423C">
        <w:rPr>
          <w:rFonts w:ascii="Arial" w:hAnsi="Arial" w:cs="Arial"/>
        </w:rPr>
        <w:t>and give guidance to FRAs and their Local Pension Boards (LPBs) to improve</w:t>
      </w:r>
      <w:r w:rsidR="00E734A3" w:rsidRPr="0092423C">
        <w:rPr>
          <w:rFonts w:ascii="Arial" w:hAnsi="Arial" w:cs="Arial"/>
        </w:rPr>
        <w:t xml:space="preserve"> </w:t>
      </w:r>
      <w:r w:rsidRPr="0092423C">
        <w:rPr>
          <w:rFonts w:ascii="Arial" w:hAnsi="Arial" w:cs="Arial"/>
        </w:rPr>
        <w:t>understanding and compliance in the next survey.</w:t>
      </w:r>
    </w:p>
    <w:p w14:paraId="2FCED7F4" w14:textId="77777777" w:rsidR="00FF5299" w:rsidRPr="0092423C" w:rsidRDefault="00FF5299" w:rsidP="008E7C38">
      <w:pPr>
        <w:pStyle w:val="NoSpacing"/>
        <w:ind w:left="709"/>
        <w:jc w:val="both"/>
        <w:rPr>
          <w:rFonts w:ascii="Arial" w:hAnsi="Arial" w:cs="Arial"/>
        </w:rPr>
      </w:pPr>
    </w:p>
    <w:p w14:paraId="73106D65" w14:textId="77777777" w:rsidR="00D031EC" w:rsidRPr="0092423C" w:rsidRDefault="00FF5299" w:rsidP="008E7C38">
      <w:pPr>
        <w:pStyle w:val="NoSpacing"/>
        <w:ind w:left="709"/>
        <w:jc w:val="both"/>
        <w:rPr>
          <w:rFonts w:ascii="Arial" w:hAnsi="Arial" w:cs="Arial"/>
          <w:b/>
          <w:bCs/>
        </w:rPr>
      </w:pPr>
      <w:r w:rsidRPr="0092423C">
        <w:rPr>
          <w:rFonts w:ascii="Arial" w:hAnsi="Arial" w:cs="Arial"/>
          <w:b/>
          <w:bCs/>
        </w:rPr>
        <w:t>Other News and Updates</w:t>
      </w:r>
      <w:r w:rsidR="00D031EC" w:rsidRPr="0092423C">
        <w:rPr>
          <w:rFonts w:ascii="Arial" w:hAnsi="Arial" w:cs="Arial"/>
          <w:b/>
          <w:bCs/>
        </w:rPr>
        <w:t xml:space="preserve"> </w:t>
      </w:r>
      <w:r w:rsidRPr="0092423C">
        <w:rPr>
          <w:rFonts w:ascii="Arial" w:hAnsi="Arial" w:cs="Arial"/>
          <w:b/>
          <w:bCs/>
        </w:rPr>
        <w:t>Public Service Pension Indexation and Revaluation 2021</w:t>
      </w:r>
      <w:r w:rsidR="00D031EC" w:rsidRPr="0092423C">
        <w:rPr>
          <w:rFonts w:ascii="Arial" w:hAnsi="Arial" w:cs="Arial"/>
          <w:b/>
          <w:bCs/>
        </w:rPr>
        <w:t xml:space="preserve"> </w:t>
      </w:r>
    </w:p>
    <w:p w14:paraId="3F6663AF" w14:textId="77777777" w:rsidR="00D031EC" w:rsidRPr="0092423C" w:rsidRDefault="00FF5299" w:rsidP="008E7C38">
      <w:pPr>
        <w:pStyle w:val="NoSpacing"/>
        <w:ind w:left="709"/>
        <w:jc w:val="both"/>
        <w:rPr>
          <w:rFonts w:ascii="Arial" w:hAnsi="Arial" w:cs="Arial"/>
        </w:rPr>
      </w:pPr>
      <w:r w:rsidRPr="0092423C">
        <w:rPr>
          <w:rFonts w:ascii="Arial" w:hAnsi="Arial" w:cs="Arial"/>
        </w:rPr>
        <w:t>On 12 January 2021, HMT issued written statement HLWS699 confirming the Public</w:t>
      </w:r>
      <w:r w:rsidR="00D031EC" w:rsidRPr="0092423C">
        <w:rPr>
          <w:rFonts w:ascii="Arial" w:hAnsi="Arial" w:cs="Arial"/>
        </w:rPr>
        <w:t xml:space="preserve"> </w:t>
      </w:r>
      <w:r w:rsidRPr="0092423C">
        <w:rPr>
          <w:rFonts w:ascii="Arial" w:hAnsi="Arial" w:cs="Arial"/>
        </w:rPr>
        <w:t>Service Pension Indexation and Revaluation for 2021.</w:t>
      </w:r>
      <w:r w:rsidR="00D031EC" w:rsidRPr="0092423C">
        <w:rPr>
          <w:rFonts w:ascii="Arial" w:hAnsi="Arial" w:cs="Arial"/>
        </w:rPr>
        <w:t xml:space="preserve"> </w:t>
      </w:r>
    </w:p>
    <w:p w14:paraId="7FFD3D4A" w14:textId="77777777" w:rsidR="00D031EC" w:rsidRPr="0092423C" w:rsidRDefault="00D031EC" w:rsidP="008E7C38">
      <w:pPr>
        <w:pStyle w:val="NoSpacing"/>
        <w:ind w:left="709"/>
        <w:jc w:val="both"/>
        <w:rPr>
          <w:rFonts w:ascii="Arial" w:hAnsi="Arial" w:cs="Arial"/>
        </w:rPr>
      </w:pPr>
    </w:p>
    <w:p w14:paraId="716D702A" w14:textId="77777777" w:rsidR="007D5A30" w:rsidRPr="0092423C" w:rsidRDefault="00FF5299" w:rsidP="008E7C38">
      <w:pPr>
        <w:pStyle w:val="NoSpacing"/>
        <w:ind w:left="709"/>
        <w:jc w:val="both"/>
        <w:rPr>
          <w:rFonts w:ascii="Arial" w:hAnsi="Arial" w:cs="Arial"/>
        </w:rPr>
      </w:pPr>
      <w:r w:rsidRPr="0092423C">
        <w:rPr>
          <w:rFonts w:ascii="Arial" w:hAnsi="Arial" w:cs="Arial"/>
        </w:rPr>
        <w:t>Public service pensions will be increased in line with the annual increase in the</w:t>
      </w:r>
      <w:r w:rsidR="00D031EC" w:rsidRPr="0092423C">
        <w:rPr>
          <w:rFonts w:ascii="Arial" w:hAnsi="Arial" w:cs="Arial"/>
        </w:rPr>
        <w:t xml:space="preserve"> </w:t>
      </w:r>
      <w:r w:rsidRPr="0092423C">
        <w:rPr>
          <w:rFonts w:ascii="Arial" w:hAnsi="Arial" w:cs="Arial"/>
        </w:rPr>
        <w:t>Consumer Prices Index up to September 2020. The increase from 12 April 2021 is</w:t>
      </w:r>
      <w:r w:rsidR="00D031EC" w:rsidRPr="0092423C">
        <w:rPr>
          <w:rFonts w:ascii="Arial" w:hAnsi="Arial" w:cs="Arial"/>
        </w:rPr>
        <w:t xml:space="preserve"> </w:t>
      </w:r>
      <w:r w:rsidRPr="0092423C">
        <w:rPr>
          <w:rFonts w:ascii="Arial" w:hAnsi="Arial" w:cs="Arial"/>
        </w:rPr>
        <w:t>0.5%.</w:t>
      </w:r>
    </w:p>
    <w:p w14:paraId="16033D30" w14:textId="77777777" w:rsidR="007D5A30" w:rsidRPr="0092423C" w:rsidRDefault="007D5A30" w:rsidP="008E7C38">
      <w:pPr>
        <w:pStyle w:val="NoSpacing"/>
        <w:ind w:left="709"/>
        <w:jc w:val="both"/>
        <w:rPr>
          <w:rFonts w:ascii="Arial" w:hAnsi="Arial" w:cs="Arial"/>
        </w:rPr>
      </w:pPr>
    </w:p>
    <w:p w14:paraId="3D996E94" w14:textId="77777777" w:rsidR="007D5A30" w:rsidRPr="0092423C" w:rsidRDefault="00FF5299" w:rsidP="008E7C38">
      <w:pPr>
        <w:pStyle w:val="NoSpacing"/>
        <w:ind w:left="709"/>
        <w:jc w:val="both"/>
        <w:rPr>
          <w:rFonts w:ascii="Arial" w:hAnsi="Arial" w:cs="Arial"/>
        </w:rPr>
      </w:pPr>
      <w:r w:rsidRPr="0092423C">
        <w:rPr>
          <w:rFonts w:ascii="Arial" w:hAnsi="Arial" w:cs="Arial"/>
        </w:rPr>
        <w:t>HMT has published the 2021 pensions increase multiplier tables and covering note</w:t>
      </w:r>
      <w:r w:rsidR="007D5A30" w:rsidRPr="0092423C">
        <w:rPr>
          <w:rFonts w:ascii="Arial" w:hAnsi="Arial" w:cs="Arial"/>
        </w:rPr>
        <w:t xml:space="preserve"> </w:t>
      </w:r>
      <w:r w:rsidRPr="0092423C">
        <w:rPr>
          <w:rFonts w:ascii="Arial" w:hAnsi="Arial" w:cs="Arial"/>
        </w:rPr>
        <w:t>to the GOV.UK website in advance of the Pensions Increase (Review) Order being</w:t>
      </w:r>
      <w:r w:rsidR="007D5A30" w:rsidRPr="0092423C">
        <w:rPr>
          <w:rFonts w:ascii="Arial" w:hAnsi="Arial" w:cs="Arial"/>
        </w:rPr>
        <w:t xml:space="preserve"> </w:t>
      </w:r>
      <w:r w:rsidRPr="0092423C">
        <w:rPr>
          <w:rFonts w:ascii="Arial" w:hAnsi="Arial" w:cs="Arial"/>
        </w:rPr>
        <w:t>laid.</w:t>
      </w:r>
    </w:p>
    <w:p w14:paraId="4CD5B424" w14:textId="77777777" w:rsidR="007D5A30" w:rsidRPr="0092423C" w:rsidRDefault="007D5A30" w:rsidP="008E7C38">
      <w:pPr>
        <w:pStyle w:val="NoSpacing"/>
        <w:ind w:left="709"/>
        <w:jc w:val="both"/>
        <w:rPr>
          <w:rFonts w:ascii="Arial" w:hAnsi="Arial" w:cs="Arial"/>
        </w:rPr>
      </w:pPr>
    </w:p>
    <w:p w14:paraId="2D3F66EA" w14:textId="1D2ED0C6" w:rsidR="00FF5299" w:rsidRPr="0092423C" w:rsidRDefault="00FF5299" w:rsidP="008E7C38">
      <w:pPr>
        <w:pStyle w:val="NoSpacing"/>
        <w:ind w:left="709"/>
        <w:jc w:val="both"/>
        <w:rPr>
          <w:rFonts w:ascii="Arial" w:hAnsi="Arial" w:cs="Arial"/>
        </w:rPr>
      </w:pPr>
      <w:r w:rsidRPr="0092423C">
        <w:rPr>
          <w:rFonts w:ascii="Arial" w:hAnsi="Arial" w:cs="Arial"/>
        </w:rPr>
        <w:t>FPS 2015 will use the figure of 2.4% as set out in the statement for the earnings</w:t>
      </w:r>
      <w:r w:rsidR="007D5A30" w:rsidRPr="0092423C">
        <w:rPr>
          <w:rFonts w:ascii="Arial" w:hAnsi="Arial" w:cs="Arial"/>
        </w:rPr>
        <w:t xml:space="preserve"> </w:t>
      </w:r>
      <w:r w:rsidRPr="0092423C">
        <w:rPr>
          <w:rFonts w:ascii="Arial" w:hAnsi="Arial" w:cs="Arial"/>
        </w:rPr>
        <w:t>element of revaluation for active members to be applied at one second after midnight</w:t>
      </w:r>
      <w:r w:rsidR="007D5A30" w:rsidRPr="0092423C">
        <w:rPr>
          <w:rFonts w:ascii="Arial" w:hAnsi="Arial" w:cs="Arial"/>
        </w:rPr>
        <w:t xml:space="preserve"> </w:t>
      </w:r>
      <w:r w:rsidRPr="0092423C">
        <w:rPr>
          <w:rFonts w:ascii="Arial" w:hAnsi="Arial" w:cs="Arial"/>
        </w:rPr>
        <w:t>on 31 March 2021.</w:t>
      </w:r>
    </w:p>
    <w:p w14:paraId="745BDD1F" w14:textId="77777777" w:rsidR="00FF5299" w:rsidRPr="0092423C" w:rsidRDefault="00FF5299" w:rsidP="00FF5299">
      <w:pPr>
        <w:pStyle w:val="NoSpacing"/>
        <w:jc w:val="both"/>
        <w:rPr>
          <w:rFonts w:ascii="Arial" w:hAnsi="Arial" w:cs="Arial"/>
        </w:rPr>
      </w:pPr>
    </w:p>
    <w:p w14:paraId="17B6CEBC" w14:textId="77777777" w:rsidR="009856CF" w:rsidRPr="0092423C" w:rsidRDefault="00FF5299" w:rsidP="008E7C38">
      <w:pPr>
        <w:pStyle w:val="NoSpacing"/>
        <w:ind w:left="709"/>
        <w:jc w:val="both"/>
        <w:rPr>
          <w:rStyle w:val="fontstyle01"/>
          <w:rFonts w:ascii="Arial" w:hAnsi="Arial" w:cs="Arial"/>
          <w:b/>
          <w:bCs/>
          <w:color w:val="auto"/>
        </w:rPr>
      </w:pPr>
      <w:r w:rsidRPr="0092423C">
        <w:rPr>
          <w:rStyle w:val="fontstyle01"/>
          <w:rFonts w:ascii="Arial" w:hAnsi="Arial" w:cs="Arial"/>
          <w:b/>
          <w:bCs/>
          <w:color w:val="auto"/>
        </w:rPr>
        <w:t>Pensions Dashboards Programme – welcome to 2021</w:t>
      </w:r>
      <w:r w:rsidR="009856CF" w:rsidRPr="0092423C">
        <w:rPr>
          <w:rStyle w:val="fontstyle01"/>
          <w:rFonts w:ascii="Arial" w:hAnsi="Arial" w:cs="Arial"/>
          <w:b/>
          <w:bCs/>
          <w:color w:val="auto"/>
        </w:rPr>
        <w:t xml:space="preserve"> </w:t>
      </w:r>
    </w:p>
    <w:p w14:paraId="6B52E4D4" w14:textId="77777777" w:rsidR="00A175D2" w:rsidRPr="0092423C" w:rsidRDefault="00FF5299" w:rsidP="008E7C38">
      <w:pPr>
        <w:pStyle w:val="NoSpacing"/>
        <w:ind w:left="709"/>
        <w:jc w:val="both"/>
        <w:rPr>
          <w:rStyle w:val="fontstyle21"/>
          <w:rFonts w:ascii="Arial" w:hAnsi="Arial" w:cs="Arial"/>
          <w:color w:val="auto"/>
        </w:rPr>
      </w:pPr>
      <w:r w:rsidRPr="0092423C">
        <w:rPr>
          <w:rStyle w:val="fontstyle21"/>
          <w:rFonts w:ascii="Arial" w:hAnsi="Arial" w:cs="Arial"/>
          <w:color w:val="auto"/>
        </w:rPr>
        <w:t>The Pensions Dashboards Programme (PDP) published a blog on 12 January 2021</w:t>
      </w:r>
      <w:r w:rsidR="00A175D2" w:rsidRPr="0092423C">
        <w:rPr>
          <w:rStyle w:val="fontstyle21"/>
          <w:rFonts w:ascii="Arial" w:hAnsi="Arial" w:cs="Arial"/>
          <w:color w:val="auto"/>
        </w:rPr>
        <w:t xml:space="preserve"> </w:t>
      </w:r>
      <w:r w:rsidRPr="0092423C">
        <w:rPr>
          <w:rStyle w:val="fontstyle21"/>
          <w:rFonts w:ascii="Arial" w:hAnsi="Arial" w:cs="Arial"/>
          <w:color w:val="auto"/>
        </w:rPr>
        <w:t>entitled ‘welcome to 2021 and brighter days ahead’. The blog outlines progress</w:t>
      </w:r>
      <w:r w:rsidR="00A175D2" w:rsidRPr="0092423C">
        <w:rPr>
          <w:rStyle w:val="fontstyle21"/>
          <w:rFonts w:ascii="Arial" w:hAnsi="Arial" w:cs="Arial"/>
          <w:color w:val="auto"/>
        </w:rPr>
        <w:t xml:space="preserve"> </w:t>
      </w:r>
      <w:r w:rsidRPr="0092423C">
        <w:rPr>
          <w:rStyle w:val="fontstyle21"/>
          <w:rFonts w:ascii="Arial" w:hAnsi="Arial" w:cs="Arial"/>
          <w:color w:val="auto"/>
        </w:rPr>
        <w:t>made by the PDP in 2020 and sets out milestones for the year ahead.</w:t>
      </w:r>
      <w:r w:rsidR="00A175D2" w:rsidRPr="0092423C">
        <w:rPr>
          <w:rStyle w:val="fontstyle21"/>
          <w:rFonts w:ascii="Arial" w:hAnsi="Arial" w:cs="Arial"/>
          <w:color w:val="auto"/>
        </w:rPr>
        <w:t xml:space="preserve"> </w:t>
      </w:r>
    </w:p>
    <w:p w14:paraId="31956FF4" w14:textId="77777777" w:rsidR="00A175D2" w:rsidRPr="0092423C" w:rsidRDefault="00A175D2" w:rsidP="008E7C38">
      <w:pPr>
        <w:pStyle w:val="NoSpacing"/>
        <w:ind w:left="709"/>
        <w:jc w:val="both"/>
        <w:rPr>
          <w:rStyle w:val="fontstyle21"/>
          <w:rFonts w:ascii="Arial" w:hAnsi="Arial" w:cs="Arial"/>
          <w:color w:val="auto"/>
        </w:rPr>
      </w:pPr>
    </w:p>
    <w:p w14:paraId="033EDE5C" w14:textId="49DF8927" w:rsidR="00FF5299" w:rsidRPr="0092423C" w:rsidRDefault="00FF5299" w:rsidP="008E7C38">
      <w:pPr>
        <w:pStyle w:val="NoSpacing"/>
        <w:ind w:left="709"/>
        <w:jc w:val="both"/>
        <w:rPr>
          <w:rStyle w:val="fontstyle21"/>
          <w:rFonts w:ascii="Arial" w:hAnsi="Arial" w:cs="Arial"/>
          <w:color w:val="auto"/>
        </w:rPr>
      </w:pPr>
      <w:r w:rsidRPr="0092423C">
        <w:rPr>
          <w:rStyle w:val="fontstyle21"/>
          <w:rFonts w:ascii="Arial" w:hAnsi="Arial" w:cs="Arial"/>
          <w:color w:val="auto"/>
        </w:rPr>
        <w:t>A significant step for the PDP will be the Pensions Schemes Bill 2019-21 passing</w:t>
      </w:r>
      <w:r w:rsidR="00A175D2" w:rsidRPr="0092423C">
        <w:rPr>
          <w:rStyle w:val="fontstyle21"/>
          <w:rFonts w:ascii="Arial" w:hAnsi="Arial" w:cs="Arial"/>
          <w:color w:val="auto"/>
        </w:rPr>
        <w:t xml:space="preserve"> </w:t>
      </w:r>
      <w:r w:rsidRPr="0092423C">
        <w:rPr>
          <w:rStyle w:val="fontstyle21"/>
          <w:rFonts w:ascii="Arial" w:hAnsi="Arial" w:cs="Arial"/>
          <w:color w:val="auto"/>
        </w:rPr>
        <w:t>into law. The Bill will set out high-level legislative requirements that schemes and</w:t>
      </w:r>
      <w:r w:rsidR="00A175D2" w:rsidRPr="0092423C">
        <w:rPr>
          <w:rStyle w:val="fontstyle21"/>
          <w:rFonts w:ascii="Arial" w:hAnsi="Arial" w:cs="Arial"/>
          <w:color w:val="auto"/>
        </w:rPr>
        <w:t xml:space="preserve"> </w:t>
      </w:r>
      <w:r w:rsidRPr="0092423C">
        <w:rPr>
          <w:rStyle w:val="fontstyle21"/>
          <w:rFonts w:ascii="Arial" w:hAnsi="Arial" w:cs="Arial"/>
          <w:color w:val="auto"/>
        </w:rPr>
        <w:t>providers must comply with. In addition, the PDP expects to start a program of</w:t>
      </w:r>
      <w:r w:rsidR="00A175D2" w:rsidRPr="0092423C">
        <w:rPr>
          <w:rStyle w:val="fontstyle21"/>
          <w:rFonts w:ascii="Arial" w:hAnsi="Arial" w:cs="Arial"/>
          <w:color w:val="auto"/>
        </w:rPr>
        <w:t xml:space="preserve"> </w:t>
      </w:r>
      <w:r w:rsidRPr="0092423C">
        <w:rPr>
          <w:rStyle w:val="fontstyle21"/>
          <w:rFonts w:ascii="Arial" w:hAnsi="Arial" w:cs="Arial"/>
          <w:color w:val="auto"/>
        </w:rPr>
        <w:t>procurement for the digital infrastructure needed to support dashboards.</w:t>
      </w:r>
    </w:p>
    <w:p w14:paraId="1DE518B6" w14:textId="77777777" w:rsidR="00FF5299" w:rsidRPr="0092423C" w:rsidRDefault="00FF5299" w:rsidP="008E7C38">
      <w:pPr>
        <w:pStyle w:val="NoSpacing"/>
        <w:ind w:left="709"/>
        <w:jc w:val="both"/>
        <w:rPr>
          <w:rStyle w:val="fontstyle21"/>
          <w:rFonts w:ascii="Arial" w:hAnsi="Arial" w:cs="Arial"/>
          <w:color w:val="auto"/>
        </w:rPr>
      </w:pPr>
    </w:p>
    <w:p w14:paraId="37934539" w14:textId="77777777" w:rsidR="00BD5D58" w:rsidRPr="0092423C" w:rsidRDefault="00FF5299" w:rsidP="008E7C38">
      <w:pPr>
        <w:pStyle w:val="NoSpacing"/>
        <w:ind w:left="709"/>
        <w:jc w:val="both"/>
        <w:rPr>
          <w:rStyle w:val="fontstyle21"/>
          <w:rFonts w:ascii="Arial" w:hAnsi="Arial" w:cs="Arial"/>
          <w:color w:val="auto"/>
        </w:rPr>
      </w:pPr>
      <w:r w:rsidRPr="0092423C">
        <w:rPr>
          <w:rStyle w:val="fontstyle01"/>
          <w:rFonts w:ascii="Arial" w:hAnsi="Arial" w:cs="Arial"/>
          <w:color w:val="auto"/>
        </w:rPr>
        <w:lastRenderedPageBreak/>
        <w:t>FCA publishes DB transfer advice tool</w:t>
      </w:r>
      <w:r w:rsidR="00BD5D58" w:rsidRPr="0092423C">
        <w:rPr>
          <w:rStyle w:val="fontstyle01"/>
          <w:rFonts w:ascii="Arial" w:hAnsi="Arial" w:cs="Arial"/>
          <w:color w:val="auto"/>
        </w:rPr>
        <w:t xml:space="preserve"> </w:t>
      </w:r>
      <w:r w:rsidRPr="0092423C">
        <w:rPr>
          <w:rStyle w:val="fontstyle21"/>
          <w:rFonts w:ascii="Arial" w:hAnsi="Arial" w:cs="Arial"/>
          <w:color w:val="auto"/>
        </w:rPr>
        <w:t>The Pension Schemes Act 2015 (Transitional Provisions and Appropriate</w:t>
      </w:r>
      <w:r w:rsidR="00BD5D58" w:rsidRPr="0092423C">
        <w:rPr>
          <w:rStyle w:val="fontstyle21"/>
          <w:rFonts w:ascii="Arial" w:hAnsi="Arial" w:cs="Arial"/>
          <w:color w:val="auto"/>
        </w:rPr>
        <w:t xml:space="preserve"> </w:t>
      </w:r>
      <w:r w:rsidRPr="0092423C">
        <w:rPr>
          <w:rStyle w:val="fontstyle21"/>
          <w:rFonts w:ascii="Arial" w:hAnsi="Arial" w:cs="Arial"/>
          <w:color w:val="auto"/>
        </w:rPr>
        <w:t>Independent Advice) Regulations 2015 introduced the requirement for members to</w:t>
      </w:r>
      <w:r w:rsidR="00BD5D58" w:rsidRPr="0092423C">
        <w:rPr>
          <w:rStyle w:val="fontstyle21"/>
          <w:rFonts w:ascii="Arial" w:hAnsi="Arial" w:cs="Arial"/>
          <w:color w:val="auto"/>
        </w:rPr>
        <w:t xml:space="preserve"> </w:t>
      </w:r>
      <w:r w:rsidRPr="0092423C">
        <w:rPr>
          <w:rStyle w:val="fontstyle21"/>
          <w:rFonts w:ascii="Arial" w:hAnsi="Arial" w:cs="Arial"/>
          <w:color w:val="auto"/>
        </w:rPr>
        <w:t>take independent advice where the value of their transfer value exceeds £30,000.</w:t>
      </w:r>
      <w:r w:rsidR="00BD5D58" w:rsidRPr="0092423C">
        <w:rPr>
          <w:rStyle w:val="fontstyle21"/>
          <w:rFonts w:ascii="Arial" w:hAnsi="Arial" w:cs="Arial"/>
          <w:color w:val="auto"/>
        </w:rPr>
        <w:t xml:space="preserve"> </w:t>
      </w:r>
      <w:r w:rsidRPr="0092423C">
        <w:rPr>
          <w:rStyle w:val="fontstyle21"/>
          <w:rFonts w:ascii="Arial" w:hAnsi="Arial" w:cs="Arial"/>
          <w:color w:val="auto"/>
        </w:rPr>
        <w:t>On 15 January 2021, the Financial Conduct Authority (FCA) published the Defined</w:t>
      </w:r>
      <w:r w:rsidR="00BD5D58" w:rsidRPr="0092423C">
        <w:rPr>
          <w:rStyle w:val="fontstyle21"/>
          <w:rFonts w:ascii="Arial" w:hAnsi="Arial" w:cs="Arial"/>
          <w:color w:val="auto"/>
        </w:rPr>
        <w:t xml:space="preserve"> </w:t>
      </w:r>
      <w:r w:rsidRPr="0092423C">
        <w:rPr>
          <w:rStyle w:val="fontstyle21"/>
          <w:rFonts w:ascii="Arial" w:hAnsi="Arial" w:cs="Arial"/>
          <w:color w:val="auto"/>
        </w:rPr>
        <w:t>Benefit Advice Assessment Tool.</w:t>
      </w:r>
    </w:p>
    <w:p w14:paraId="0079E822" w14:textId="77777777" w:rsidR="00BD5D58" w:rsidRPr="0092423C" w:rsidRDefault="00BD5D58" w:rsidP="008E7C38">
      <w:pPr>
        <w:pStyle w:val="NoSpacing"/>
        <w:ind w:left="709"/>
        <w:jc w:val="both"/>
        <w:rPr>
          <w:rStyle w:val="fontstyle21"/>
          <w:rFonts w:ascii="Arial" w:hAnsi="Arial" w:cs="Arial"/>
          <w:color w:val="auto"/>
        </w:rPr>
      </w:pPr>
    </w:p>
    <w:p w14:paraId="78F1B4D0" w14:textId="1A668181" w:rsidR="00FF5299" w:rsidRPr="0092423C" w:rsidRDefault="00FF5299" w:rsidP="008E7C38">
      <w:pPr>
        <w:pStyle w:val="NoSpacing"/>
        <w:ind w:left="709"/>
        <w:jc w:val="both"/>
        <w:rPr>
          <w:rStyle w:val="fontstyle21"/>
          <w:rFonts w:ascii="Arial" w:hAnsi="Arial" w:cs="Arial"/>
          <w:color w:val="auto"/>
        </w:rPr>
      </w:pPr>
      <w:r w:rsidRPr="0092423C">
        <w:rPr>
          <w:rStyle w:val="fontstyle21"/>
          <w:rFonts w:ascii="Arial" w:hAnsi="Arial" w:cs="Arial"/>
          <w:color w:val="auto"/>
        </w:rPr>
        <w:t>The purpose of the tool is to allow the industry to understand how the FCA assesses</w:t>
      </w:r>
      <w:r w:rsidR="00BD5D58" w:rsidRPr="0092423C">
        <w:rPr>
          <w:rStyle w:val="fontstyle21"/>
          <w:rFonts w:ascii="Arial" w:hAnsi="Arial" w:cs="Arial"/>
          <w:color w:val="auto"/>
        </w:rPr>
        <w:t xml:space="preserve"> </w:t>
      </w:r>
      <w:r w:rsidRPr="0092423C">
        <w:rPr>
          <w:rStyle w:val="fontstyle21"/>
          <w:rFonts w:ascii="Arial" w:hAnsi="Arial" w:cs="Arial"/>
          <w:color w:val="auto"/>
        </w:rPr>
        <w:t>advice suitability given before October 2020. The FCA will publish an updated tool</w:t>
      </w:r>
      <w:r w:rsidR="00BD5D58" w:rsidRPr="0092423C">
        <w:rPr>
          <w:rStyle w:val="fontstyle21"/>
          <w:rFonts w:ascii="Arial" w:hAnsi="Arial" w:cs="Arial"/>
          <w:color w:val="auto"/>
        </w:rPr>
        <w:t xml:space="preserve"> </w:t>
      </w:r>
      <w:r w:rsidRPr="0092423C">
        <w:rPr>
          <w:rStyle w:val="fontstyle21"/>
          <w:rFonts w:ascii="Arial" w:hAnsi="Arial" w:cs="Arial"/>
          <w:color w:val="auto"/>
        </w:rPr>
        <w:t>reflecting changes made to pension transfer permissions in October 2020 during the</w:t>
      </w:r>
      <w:r w:rsidR="00615713" w:rsidRPr="0092423C">
        <w:rPr>
          <w:rStyle w:val="fontstyle21"/>
          <w:rFonts w:ascii="Arial" w:hAnsi="Arial" w:cs="Arial"/>
          <w:color w:val="auto"/>
        </w:rPr>
        <w:t xml:space="preserve"> </w:t>
      </w:r>
      <w:r w:rsidRPr="0092423C">
        <w:rPr>
          <w:rStyle w:val="fontstyle21"/>
          <w:rFonts w:ascii="Arial" w:hAnsi="Arial" w:cs="Arial"/>
          <w:color w:val="auto"/>
        </w:rPr>
        <w:t>coming months.</w:t>
      </w:r>
    </w:p>
    <w:p w14:paraId="6BB29755" w14:textId="77777777" w:rsidR="00FF5299" w:rsidRPr="0092423C" w:rsidRDefault="00FF5299" w:rsidP="008E7C38">
      <w:pPr>
        <w:pStyle w:val="NoSpacing"/>
        <w:ind w:left="709"/>
        <w:jc w:val="both"/>
        <w:rPr>
          <w:rStyle w:val="fontstyle21"/>
          <w:rFonts w:ascii="Arial" w:hAnsi="Arial" w:cs="Arial"/>
          <w:color w:val="auto"/>
        </w:rPr>
      </w:pPr>
    </w:p>
    <w:p w14:paraId="3D6476D0" w14:textId="20F97303" w:rsidR="00FF5299" w:rsidRPr="0092423C" w:rsidRDefault="00FF5299" w:rsidP="008E7C38">
      <w:pPr>
        <w:pStyle w:val="NoSpacing"/>
        <w:ind w:left="709"/>
        <w:jc w:val="both"/>
        <w:rPr>
          <w:rStyle w:val="fontstyle21"/>
          <w:rFonts w:ascii="Arial" w:hAnsi="Arial" w:cs="Arial"/>
          <w:color w:val="auto"/>
        </w:rPr>
      </w:pPr>
      <w:r w:rsidRPr="0092423C">
        <w:rPr>
          <w:rStyle w:val="fontstyle01"/>
          <w:rFonts w:ascii="Arial" w:hAnsi="Arial" w:cs="Arial"/>
          <w:color w:val="auto"/>
        </w:rPr>
        <w:t>Government updates Brexit pension guidance</w:t>
      </w:r>
      <w:r w:rsidR="00DF5514" w:rsidRPr="0092423C">
        <w:rPr>
          <w:rStyle w:val="fontstyle01"/>
          <w:rFonts w:ascii="Arial" w:hAnsi="Arial" w:cs="Arial"/>
          <w:color w:val="auto"/>
        </w:rPr>
        <w:t xml:space="preserve"> </w:t>
      </w:r>
      <w:r w:rsidRPr="0092423C">
        <w:rPr>
          <w:rStyle w:val="fontstyle21"/>
          <w:rFonts w:ascii="Arial" w:hAnsi="Arial" w:cs="Arial"/>
          <w:color w:val="auto"/>
        </w:rPr>
        <w:t>The Government has updated the Brexit pension guidance to reflect that the State</w:t>
      </w:r>
      <w:r w:rsidR="00DF5514" w:rsidRPr="0092423C">
        <w:rPr>
          <w:rStyle w:val="fontstyle21"/>
          <w:rFonts w:ascii="Arial" w:hAnsi="Arial" w:cs="Arial"/>
          <w:color w:val="auto"/>
        </w:rPr>
        <w:t xml:space="preserve"> </w:t>
      </w:r>
      <w:r w:rsidRPr="0092423C">
        <w:rPr>
          <w:rStyle w:val="fontstyle21"/>
          <w:rFonts w:ascii="Arial" w:hAnsi="Arial" w:cs="Arial"/>
          <w:color w:val="auto"/>
        </w:rPr>
        <w:t>Pension will continue to be increased while the person is resident in the EU and that</w:t>
      </w:r>
      <w:r w:rsidR="00DF5514" w:rsidRPr="0092423C">
        <w:rPr>
          <w:rStyle w:val="fontstyle21"/>
          <w:rFonts w:ascii="Arial" w:hAnsi="Arial" w:cs="Arial"/>
          <w:color w:val="auto"/>
        </w:rPr>
        <w:t xml:space="preserve"> </w:t>
      </w:r>
      <w:r w:rsidRPr="0092423C">
        <w:rPr>
          <w:rStyle w:val="fontstyle21"/>
          <w:rFonts w:ascii="Arial" w:hAnsi="Arial" w:cs="Arial"/>
          <w:color w:val="auto"/>
        </w:rPr>
        <w:t>the transition period has ended.</w:t>
      </w:r>
    </w:p>
    <w:p w14:paraId="6F9BFF33" w14:textId="77777777" w:rsidR="00AD44CB" w:rsidRPr="0092423C" w:rsidRDefault="00AD44CB" w:rsidP="00820725">
      <w:pPr>
        <w:pStyle w:val="NoSpacing"/>
        <w:jc w:val="both"/>
        <w:rPr>
          <w:rFonts w:ascii="Arial" w:hAnsi="Arial" w:cs="Arial"/>
        </w:rPr>
      </w:pPr>
    </w:p>
    <w:p w14:paraId="4E9A4436" w14:textId="77777777" w:rsidR="00AD44CB" w:rsidRPr="0092423C" w:rsidRDefault="00AD44CB" w:rsidP="00AD44CB">
      <w:pPr>
        <w:pStyle w:val="NoSpacing"/>
        <w:jc w:val="both"/>
        <w:rPr>
          <w:rFonts w:ascii="Arial" w:hAnsi="Arial" w:cs="Arial"/>
        </w:rPr>
      </w:pPr>
    </w:p>
    <w:p w14:paraId="0F379FC4" w14:textId="77777777" w:rsidR="00AD44CB" w:rsidRPr="0092423C" w:rsidRDefault="00AD44CB" w:rsidP="00AD44CB">
      <w:pPr>
        <w:pStyle w:val="NoSpacing"/>
        <w:ind w:left="720" w:hanging="720"/>
        <w:jc w:val="both"/>
        <w:rPr>
          <w:rFonts w:ascii="Arial" w:hAnsi="Arial" w:cs="Arial"/>
          <w:b/>
        </w:rPr>
      </w:pPr>
      <w:r w:rsidRPr="0092423C">
        <w:rPr>
          <w:rStyle w:val="fontstyle31"/>
          <w:rFonts w:ascii="Arial" w:hAnsi="Arial" w:cs="Arial"/>
          <w:b/>
        </w:rPr>
        <w:t>10.0</w:t>
      </w:r>
      <w:r w:rsidRPr="0092423C">
        <w:rPr>
          <w:rStyle w:val="fontstyle31"/>
          <w:rFonts w:ascii="Arial" w:hAnsi="Arial" w:cs="Arial"/>
          <w:b/>
        </w:rPr>
        <w:tab/>
      </w:r>
      <w:r w:rsidRPr="0092423C">
        <w:rPr>
          <w:rStyle w:val="fontstyle01"/>
          <w:rFonts w:ascii="Arial" w:hAnsi="Arial" w:cs="Arial"/>
          <w:b/>
          <w:u w:val="single"/>
        </w:rPr>
        <w:t>West Yorkshire Pension Fund Key Performance Indicators</w:t>
      </w:r>
    </w:p>
    <w:p w14:paraId="63F8D501" w14:textId="77777777" w:rsidR="00AD44CB" w:rsidRPr="0092423C" w:rsidRDefault="00AD44CB" w:rsidP="00AD44CB">
      <w:pPr>
        <w:pStyle w:val="NoSpacing"/>
        <w:spacing w:after="200"/>
        <w:ind w:left="720" w:hanging="720"/>
        <w:jc w:val="both"/>
        <w:rPr>
          <w:rFonts w:ascii="Arial" w:hAnsi="Arial" w:cs="Arial"/>
        </w:rPr>
      </w:pPr>
    </w:p>
    <w:p w14:paraId="5C10670C" w14:textId="77777777" w:rsidR="00AD44CB" w:rsidRPr="0092423C" w:rsidRDefault="00AD44CB" w:rsidP="00AD44CB">
      <w:pPr>
        <w:pStyle w:val="NoSpacing"/>
        <w:spacing w:after="200"/>
        <w:ind w:left="720" w:hanging="720"/>
        <w:jc w:val="both"/>
        <w:rPr>
          <w:rFonts w:ascii="Arial" w:hAnsi="Arial" w:cs="Arial"/>
        </w:rPr>
      </w:pPr>
      <w:r w:rsidRPr="0092423C">
        <w:rPr>
          <w:rFonts w:ascii="Arial" w:hAnsi="Arial" w:cs="Arial"/>
        </w:rPr>
        <w:t>10.1</w:t>
      </w:r>
      <w:r w:rsidRPr="0092423C">
        <w:rPr>
          <w:rFonts w:ascii="Arial" w:hAnsi="Arial" w:cs="Arial"/>
        </w:rPr>
        <w:tab/>
        <w:t xml:space="preserve">WYPF provides monthly reporting on administration matters and Key Performance Indicators (KPI).  The latest KPI results are shown below.  </w:t>
      </w:r>
    </w:p>
    <w:p w14:paraId="7C4E0F79" w14:textId="5CFDBBA5" w:rsidR="00AD44CB" w:rsidRPr="0092423C" w:rsidRDefault="00532951" w:rsidP="00AD44CB">
      <w:pPr>
        <w:spacing w:line="240" w:lineRule="auto"/>
        <w:ind w:firstLine="142"/>
        <w:jc w:val="both"/>
        <w:rPr>
          <w:rFonts w:ascii="Arial" w:hAnsi="Arial" w:cs="Arial"/>
        </w:rPr>
      </w:pPr>
      <w:r w:rsidRPr="0092423C">
        <w:rPr>
          <w:noProof/>
        </w:rPr>
        <w:drawing>
          <wp:inline distT="0" distB="0" distL="0" distR="0" wp14:anchorId="0D1480E9" wp14:editId="65FC83D4">
            <wp:extent cx="5731510" cy="46570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4657090"/>
                    </a:xfrm>
                    <a:prstGeom prst="rect">
                      <a:avLst/>
                    </a:prstGeom>
                  </pic:spPr>
                </pic:pic>
              </a:graphicData>
            </a:graphic>
          </wp:inline>
        </w:drawing>
      </w:r>
    </w:p>
    <w:p w14:paraId="59B4862C" w14:textId="77777777" w:rsidR="00AD44CB" w:rsidRPr="0092423C" w:rsidRDefault="00AD44CB" w:rsidP="00AD44CB">
      <w:pPr>
        <w:spacing w:line="240" w:lineRule="auto"/>
        <w:ind w:firstLine="142"/>
        <w:jc w:val="both"/>
        <w:rPr>
          <w:rFonts w:ascii="Arial" w:hAnsi="Arial" w:cs="Arial"/>
        </w:rPr>
      </w:pPr>
    </w:p>
    <w:p w14:paraId="7D8C3181" w14:textId="34D75045" w:rsidR="00AD44CB" w:rsidRPr="0092423C" w:rsidRDefault="00AD44CB" w:rsidP="00AD44CB">
      <w:pPr>
        <w:spacing w:line="240" w:lineRule="auto"/>
        <w:jc w:val="both"/>
        <w:rPr>
          <w:rFonts w:ascii="Arial" w:hAnsi="Arial" w:cs="Arial"/>
        </w:rPr>
      </w:pPr>
      <w:r w:rsidRPr="0092423C">
        <w:rPr>
          <w:noProof/>
        </w:rPr>
        <mc:AlternateContent>
          <mc:Choice Requires="wps">
            <w:drawing>
              <wp:anchor distT="0" distB="0" distL="114300" distR="114300" simplePos="0" relativeHeight="251658240" behindDoc="0" locked="0" layoutInCell="1" allowOverlap="1" wp14:anchorId="55BF5635" wp14:editId="23E21F4B">
                <wp:simplePos x="0" y="0"/>
                <wp:positionH relativeFrom="margin">
                  <wp:posOffset>102870</wp:posOffset>
                </wp:positionH>
                <wp:positionV relativeFrom="paragraph">
                  <wp:posOffset>13335</wp:posOffset>
                </wp:positionV>
                <wp:extent cx="5695950" cy="830580"/>
                <wp:effectExtent l="0" t="0" r="19050" b="26670"/>
                <wp:wrapNone/>
                <wp:docPr id="4" name="Text Box 4"/>
                <wp:cNvGraphicFramePr/>
                <a:graphic xmlns:a="http://schemas.openxmlformats.org/drawingml/2006/main">
                  <a:graphicData uri="http://schemas.microsoft.com/office/word/2010/wordprocessingShape">
                    <wps:wsp>
                      <wps:cNvSpPr txBox="1"/>
                      <wps:spPr>
                        <a:xfrm>
                          <a:off x="0" y="0"/>
                          <a:ext cx="5695950" cy="830580"/>
                        </a:xfrm>
                        <a:prstGeom prst="rect">
                          <a:avLst/>
                        </a:prstGeom>
                        <a:solidFill>
                          <a:schemeClr val="bg1">
                            <a:lumMod val="75000"/>
                          </a:schemeClr>
                        </a:solidFill>
                        <a:ln w="6350">
                          <a:solidFill>
                            <a:prstClr val="black"/>
                          </a:solidFill>
                        </a:ln>
                        <a:effectLst/>
                      </wps:spPr>
                      <wps:txbx>
                        <w:txbxContent>
                          <w:p w14:paraId="1F2D3538" w14:textId="77777777" w:rsidR="00AD44CB" w:rsidRDefault="00AD44CB" w:rsidP="00AD44CB">
                            <w:pPr>
                              <w:rPr>
                                <w:rFonts w:ascii="Arial" w:hAnsi="Arial" w:cs="Arial"/>
                                <w:b/>
                                <w:u w:val="single"/>
                              </w:rPr>
                            </w:pPr>
                            <w:proofErr w:type="gramStart"/>
                            <w:r>
                              <w:rPr>
                                <w:rFonts w:ascii="Arial" w:hAnsi="Arial" w:cs="Arial"/>
                                <w:b/>
                              </w:rPr>
                              <w:t xml:space="preserve">11.0  </w:t>
                            </w:r>
                            <w:r>
                              <w:rPr>
                                <w:rFonts w:ascii="Arial" w:hAnsi="Arial" w:cs="Arial"/>
                                <w:b/>
                                <w:u w:val="single"/>
                              </w:rPr>
                              <w:t>Recommendations</w:t>
                            </w:r>
                            <w:proofErr w:type="gramEnd"/>
                          </w:p>
                          <w:p w14:paraId="245F6748" w14:textId="77777777" w:rsidR="00AD44CB" w:rsidRDefault="00AD44CB" w:rsidP="00AD44CB">
                            <w:pPr>
                              <w:ind w:left="567" w:hanging="567"/>
                              <w:rPr>
                                <w:rFonts w:ascii="Arial" w:hAnsi="Arial" w:cs="Arial"/>
                              </w:rPr>
                            </w:pPr>
                            <w:proofErr w:type="gramStart"/>
                            <w:r>
                              <w:rPr>
                                <w:rFonts w:ascii="Arial" w:hAnsi="Arial" w:cs="Arial"/>
                              </w:rPr>
                              <w:t>11.1  That</w:t>
                            </w:r>
                            <w:proofErr w:type="gramEnd"/>
                            <w:r>
                              <w:rPr>
                                <w:rFonts w:ascii="Arial" w:hAnsi="Arial" w:cs="Arial"/>
                              </w:rPr>
                              <w:t xml:space="preserve"> Members note the content of the report.</w:t>
                            </w:r>
                          </w:p>
                          <w:p w14:paraId="7B0A08FF" w14:textId="77777777" w:rsidR="00AD44CB" w:rsidRDefault="00AD44CB" w:rsidP="00AD44CB">
                            <w:pPr>
                              <w:rPr>
                                <w:rFonts w:ascii="Arial" w:hAnsi="Arial" w:cs="Arial"/>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F5635" id="Text Box 4" o:spid="_x0000_s1027" type="#_x0000_t202" style="position:absolute;left:0;text-align:left;margin-left:8.1pt;margin-top:1.05pt;width:448.5pt;height:6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" fillcolor="#bfbfbf [2412]" strokeweight=".5pt">
                <v:textbox>
                  <w:txbxContent>
                    <w:p w14:paraId="1F2D3538" w14:textId="77777777" w:rsidR="00AD44CB" w:rsidRDefault="00AD44CB" w:rsidP="00AD44CB">
                      <w:pPr>
                        <w:rPr>
                          <w:rFonts w:ascii="Arial" w:hAnsi="Arial" w:cs="Arial"/>
                          <w:b/>
                          <w:u w:val="single"/>
                        </w:rPr>
                      </w:pPr>
                      <w:proofErr w:type="gramStart"/>
                      <w:r>
                        <w:rPr>
                          <w:rFonts w:ascii="Arial" w:hAnsi="Arial" w:cs="Arial"/>
                          <w:b/>
                        </w:rPr>
                        <w:t xml:space="preserve">11.0  </w:t>
                      </w:r>
                      <w:r>
                        <w:rPr>
                          <w:rFonts w:ascii="Arial" w:hAnsi="Arial" w:cs="Arial"/>
                          <w:b/>
                          <w:u w:val="single"/>
                        </w:rPr>
                        <w:t>Recommendations</w:t>
                      </w:r>
                      <w:proofErr w:type="gramEnd"/>
                    </w:p>
                    <w:p w14:paraId="245F6748" w14:textId="77777777" w:rsidR="00AD44CB" w:rsidRDefault="00AD44CB" w:rsidP="00AD44CB">
                      <w:pPr>
                        <w:ind w:left="567" w:hanging="567"/>
                        <w:rPr>
                          <w:rFonts w:ascii="Arial" w:hAnsi="Arial" w:cs="Arial"/>
                        </w:rPr>
                      </w:pPr>
                      <w:proofErr w:type="gramStart"/>
                      <w:r>
                        <w:rPr>
                          <w:rFonts w:ascii="Arial" w:hAnsi="Arial" w:cs="Arial"/>
                        </w:rPr>
                        <w:t>11.1  That</w:t>
                      </w:r>
                      <w:proofErr w:type="gramEnd"/>
                      <w:r>
                        <w:rPr>
                          <w:rFonts w:ascii="Arial" w:hAnsi="Arial" w:cs="Arial"/>
                        </w:rPr>
                        <w:t xml:space="preserve"> Members note the content of the report.</w:t>
                      </w:r>
                    </w:p>
                    <w:p w14:paraId="7B0A08FF" w14:textId="77777777" w:rsidR="00AD44CB" w:rsidRDefault="00AD44CB" w:rsidP="00AD44CB">
                      <w:pPr>
                        <w:rPr>
                          <w:rFonts w:ascii="Arial" w:hAnsi="Arial" w:cs="Arial"/>
                          <w:highlight w:val="yellow"/>
                        </w:rPr>
                      </w:pPr>
                    </w:p>
                  </w:txbxContent>
                </v:textbox>
                <w10:wrap anchorx="margin"/>
              </v:shape>
            </w:pict>
          </mc:Fallback>
        </mc:AlternateContent>
      </w:r>
    </w:p>
    <w:p w14:paraId="065414CF" w14:textId="77777777" w:rsidR="00AD44CB" w:rsidRPr="0092423C" w:rsidRDefault="00AD44CB" w:rsidP="00AD44CB">
      <w:pPr>
        <w:spacing w:line="240" w:lineRule="auto"/>
        <w:ind w:left="720" w:hanging="720"/>
        <w:jc w:val="both"/>
        <w:rPr>
          <w:rFonts w:ascii="Arial" w:hAnsi="Arial" w:cs="Arial"/>
        </w:rPr>
      </w:pPr>
    </w:p>
    <w:p w14:paraId="62AEEEE3" w14:textId="77777777" w:rsidR="00AD44CB" w:rsidRPr="0092423C" w:rsidRDefault="00AD44CB" w:rsidP="00AD44CB">
      <w:pPr>
        <w:spacing w:line="240" w:lineRule="auto"/>
        <w:ind w:left="720" w:hanging="720"/>
        <w:jc w:val="both"/>
        <w:rPr>
          <w:rFonts w:ascii="Arial" w:hAnsi="Arial" w:cs="Arial"/>
        </w:rPr>
      </w:pPr>
    </w:p>
    <w:p w14:paraId="6C0F6250" w14:textId="77777777" w:rsidR="00AD44CB" w:rsidRPr="0092423C" w:rsidRDefault="00AD44CB" w:rsidP="00AD44CB">
      <w:pPr>
        <w:spacing w:line="240" w:lineRule="auto"/>
        <w:jc w:val="both"/>
        <w:rPr>
          <w:rFonts w:ascii="Arial" w:hAnsi="Arial" w:cs="Arial"/>
        </w:rPr>
      </w:pPr>
    </w:p>
    <w:p w14:paraId="253B8DD3" w14:textId="77777777" w:rsidR="00AD44CB" w:rsidRPr="0092423C" w:rsidRDefault="00AD44CB" w:rsidP="00AD44CB">
      <w:pPr>
        <w:spacing w:line="240" w:lineRule="auto"/>
        <w:jc w:val="both"/>
        <w:rPr>
          <w:rFonts w:ascii="Arial" w:hAnsi="Arial" w:cs="Arial"/>
          <w:b/>
        </w:rPr>
      </w:pPr>
      <w:r w:rsidRPr="0092423C">
        <w:rPr>
          <w:rFonts w:ascii="Arial" w:hAnsi="Arial" w:cs="Arial"/>
          <w:b/>
        </w:rPr>
        <w:t>David Hood</w:t>
      </w:r>
    </w:p>
    <w:p w14:paraId="78BCADBE" w14:textId="77777777" w:rsidR="00AD44CB" w:rsidRPr="0092423C" w:rsidRDefault="00AD44CB" w:rsidP="00AD44CB">
      <w:pPr>
        <w:spacing w:line="240" w:lineRule="auto"/>
        <w:ind w:left="720" w:hanging="720"/>
        <w:jc w:val="both"/>
        <w:rPr>
          <w:rFonts w:ascii="Arial" w:hAnsi="Arial" w:cs="Arial"/>
        </w:rPr>
      </w:pPr>
      <w:r w:rsidRPr="0092423C">
        <w:rPr>
          <w:rFonts w:ascii="Arial" w:hAnsi="Arial" w:cs="Arial"/>
        </w:rPr>
        <w:t>Pensions Administrator / Manager</w:t>
      </w:r>
    </w:p>
    <w:p w14:paraId="796246E9" w14:textId="3A6ABBED" w:rsidR="00AD44CB" w:rsidRPr="0092423C" w:rsidRDefault="00E73501" w:rsidP="00AD44CB">
      <w:pPr>
        <w:spacing w:line="240" w:lineRule="auto"/>
        <w:ind w:left="720" w:hanging="720"/>
        <w:jc w:val="both"/>
        <w:rPr>
          <w:rFonts w:ascii="Arial" w:hAnsi="Arial" w:cs="Arial"/>
        </w:rPr>
      </w:pPr>
      <w:r w:rsidRPr="0092423C">
        <w:rPr>
          <w:rFonts w:ascii="Arial" w:hAnsi="Arial" w:cs="Arial"/>
        </w:rPr>
        <w:t>24</w:t>
      </w:r>
      <w:r w:rsidR="00AD44CB" w:rsidRPr="0092423C">
        <w:rPr>
          <w:rFonts w:ascii="Arial" w:hAnsi="Arial" w:cs="Arial"/>
        </w:rPr>
        <w:t xml:space="preserve"> </w:t>
      </w:r>
      <w:r w:rsidR="00B910CB" w:rsidRPr="0092423C">
        <w:rPr>
          <w:rFonts w:ascii="Arial" w:hAnsi="Arial" w:cs="Arial"/>
        </w:rPr>
        <w:t>February 2021</w:t>
      </w:r>
    </w:p>
    <w:p w14:paraId="4A474045" w14:textId="77777777" w:rsidR="00AD44CB" w:rsidRPr="0092423C" w:rsidRDefault="00AD44CB" w:rsidP="00AD44CB">
      <w:pPr>
        <w:spacing w:line="240" w:lineRule="auto"/>
        <w:ind w:left="720" w:hanging="720"/>
        <w:jc w:val="both"/>
        <w:rPr>
          <w:rFonts w:ascii="Arial" w:hAnsi="Arial" w:cs="Arial"/>
        </w:rPr>
      </w:pPr>
    </w:p>
    <w:p w14:paraId="2A797900" w14:textId="77777777" w:rsidR="00AD44CB" w:rsidRPr="0092423C" w:rsidRDefault="00AD44CB" w:rsidP="00AD44CB">
      <w:pPr>
        <w:spacing w:line="240" w:lineRule="auto"/>
        <w:jc w:val="both"/>
        <w:rPr>
          <w:rFonts w:ascii="Arial" w:hAnsi="Arial" w:cs="Arial"/>
          <w:b/>
        </w:rPr>
      </w:pPr>
      <w:r w:rsidRPr="0092423C">
        <w:rPr>
          <w:rFonts w:ascii="Arial" w:hAnsi="Arial" w:cs="Arial"/>
          <w:b/>
          <w:u w:val="single"/>
        </w:rPr>
        <w:t>Background documents:</w:t>
      </w:r>
      <w:r w:rsidRPr="0092423C">
        <w:rPr>
          <w:rFonts w:ascii="Arial" w:hAnsi="Arial" w:cs="Arial"/>
          <w:b/>
        </w:rPr>
        <w:t xml:space="preserve"> </w:t>
      </w:r>
    </w:p>
    <w:p w14:paraId="1123B7FD" w14:textId="77777777" w:rsidR="00AD44CB" w:rsidRPr="0092423C" w:rsidRDefault="00AD44CB" w:rsidP="00AD44CB">
      <w:pPr>
        <w:spacing w:line="240" w:lineRule="auto"/>
        <w:jc w:val="both"/>
        <w:rPr>
          <w:rFonts w:ascii="Arial" w:hAnsi="Arial" w:cs="Arial"/>
        </w:rPr>
      </w:pPr>
      <w:r w:rsidRPr="0092423C">
        <w:rPr>
          <w:rFonts w:ascii="Arial" w:hAnsi="Arial" w:cs="Arial"/>
        </w:rPr>
        <w:t>2015 Firefighters’ Scheme Complaints and Dispute process:</w:t>
      </w:r>
    </w:p>
    <w:p w14:paraId="22562739" w14:textId="77777777" w:rsidR="00AD44CB" w:rsidRPr="0092423C" w:rsidRDefault="00D14408" w:rsidP="00AD44CB">
      <w:pPr>
        <w:pStyle w:val="NoSpacing"/>
        <w:spacing w:after="200"/>
        <w:ind w:left="720" w:hanging="720"/>
        <w:jc w:val="both"/>
        <w:rPr>
          <w:rStyle w:val="Hyperlink"/>
          <w:color w:val="auto"/>
        </w:rPr>
      </w:pPr>
      <w:hyperlink r:id="rId15" w:history="1">
        <w:r w:rsidR="00AD44CB" w:rsidRPr="0092423C">
          <w:rPr>
            <w:rStyle w:val="Hyperlink"/>
            <w:rFonts w:ascii="Arial" w:hAnsi="Arial" w:cs="Arial"/>
          </w:rPr>
          <w:t>http://www.wypf.org.uk/Member/Fire/IDRP/InternalDisputeResolutionPro.aspx</w:t>
        </w:r>
      </w:hyperlink>
    </w:p>
    <w:p w14:paraId="46C1AFF5" w14:textId="3C65815C" w:rsidR="00AD44CB" w:rsidRDefault="00564F52" w:rsidP="00E723F1">
      <w:pPr>
        <w:pStyle w:val="NoSpacing"/>
        <w:spacing w:after="200"/>
        <w:jc w:val="both"/>
        <w:rPr>
          <w:rStyle w:val="Hyperlink"/>
          <w:rFonts w:ascii="Arial" w:hAnsi="Arial" w:cs="Arial"/>
          <w:u w:val="none"/>
        </w:rPr>
      </w:pPr>
      <w:r w:rsidRPr="0092423C">
        <w:rPr>
          <w:rStyle w:val="Hyperlink"/>
          <w:rFonts w:ascii="Arial" w:hAnsi="Arial" w:cs="Arial"/>
        </w:rPr>
        <w:t xml:space="preserve">the Pensions Regulator’s </w:t>
      </w:r>
      <w:r w:rsidR="0028154E" w:rsidRPr="0092423C">
        <w:rPr>
          <w:rStyle w:val="Hyperlink"/>
          <w:rFonts w:ascii="Arial" w:hAnsi="Arial" w:cs="Arial"/>
        </w:rPr>
        <w:t>annual survey on Administration and Governan</w:t>
      </w:r>
      <w:r w:rsidR="001F47E1" w:rsidRPr="0092423C">
        <w:rPr>
          <w:rStyle w:val="Hyperlink"/>
          <w:rFonts w:ascii="Arial" w:hAnsi="Arial" w:cs="Arial"/>
        </w:rPr>
        <w:t>c</w:t>
      </w:r>
      <w:r w:rsidR="0028154E" w:rsidRPr="0092423C">
        <w:rPr>
          <w:rStyle w:val="Hyperlink"/>
          <w:rFonts w:ascii="Arial" w:hAnsi="Arial" w:cs="Arial"/>
        </w:rPr>
        <w:t>e</w:t>
      </w:r>
    </w:p>
    <w:p w14:paraId="0F8815AF" w14:textId="77777777" w:rsidR="00AD44CB" w:rsidRDefault="00AD44CB" w:rsidP="00AD44CB">
      <w:pPr>
        <w:pStyle w:val="NoSpacing"/>
        <w:spacing w:after="200"/>
        <w:ind w:left="720" w:hanging="720"/>
        <w:jc w:val="both"/>
      </w:pPr>
      <w:r>
        <w:rPr>
          <w:rFonts w:ascii="Arial" w:hAnsi="Arial" w:cs="Arial"/>
        </w:rPr>
        <w:t xml:space="preserve"> </w:t>
      </w:r>
    </w:p>
    <w:p w14:paraId="7BEA1F7F" w14:textId="2B8E2422" w:rsidR="00A22367" w:rsidRPr="00AD44CB" w:rsidRDefault="00A22367" w:rsidP="00AD44CB"/>
    <w:sectPr w:rsidR="00A22367" w:rsidRPr="00AD44CB" w:rsidSect="00437EF6">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7718"/>
    <w:multiLevelType w:val="hybridMultilevel"/>
    <w:tmpl w:val="C9EAC3D4"/>
    <w:lvl w:ilvl="0" w:tplc="6BAC2250">
      <w:numFmt w:val="bullet"/>
      <w:lvlText w:val="•"/>
      <w:lvlJc w:val="left"/>
      <w:pPr>
        <w:ind w:left="1069" w:hanging="360"/>
      </w:pPr>
      <w:rPr>
        <w:rFonts w:ascii="Arial" w:eastAsiaTheme="minorHAnsi" w:hAnsi="Arial" w:cs="Aria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 w15:restartNumberingAfterBreak="0">
    <w:nsid w:val="0A6457DA"/>
    <w:multiLevelType w:val="hybridMultilevel"/>
    <w:tmpl w:val="197E6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A96FE2"/>
    <w:multiLevelType w:val="hybridMultilevel"/>
    <w:tmpl w:val="18C0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F2996"/>
    <w:multiLevelType w:val="hybridMultilevel"/>
    <w:tmpl w:val="22E871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27F4A4B"/>
    <w:multiLevelType w:val="hybridMultilevel"/>
    <w:tmpl w:val="E25CA9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3CB0493"/>
    <w:multiLevelType w:val="multilevel"/>
    <w:tmpl w:val="551A1D88"/>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16865AC1"/>
    <w:multiLevelType w:val="hybridMultilevel"/>
    <w:tmpl w:val="FC1C4546"/>
    <w:lvl w:ilvl="0" w:tplc="60749FF4">
      <w:start w:val="1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3AF1C5B"/>
    <w:multiLevelType w:val="hybridMultilevel"/>
    <w:tmpl w:val="D0CA7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D2901"/>
    <w:multiLevelType w:val="multilevel"/>
    <w:tmpl w:val="998E8B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261AC"/>
    <w:multiLevelType w:val="hybridMultilevel"/>
    <w:tmpl w:val="8242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965B4"/>
    <w:multiLevelType w:val="hybridMultilevel"/>
    <w:tmpl w:val="B1106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517F6E"/>
    <w:multiLevelType w:val="hybridMultilevel"/>
    <w:tmpl w:val="F84C2306"/>
    <w:lvl w:ilvl="0" w:tplc="4D8C6C56">
      <w:start w:val="1"/>
      <w:numFmt w:val="lowerRoman"/>
      <w:lvlText w:val="%1)"/>
      <w:lvlJc w:val="left"/>
      <w:pPr>
        <w:ind w:left="1440" w:hanging="720"/>
      </w:pPr>
      <w:rPr>
        <w:rFonts w:hint="default"/>
        <w:b w:val="0"/>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0457EFA"/>
    <w:multiLevelType w:val="multilevel"/>
    <w:tmpl w:val="262E2F66"/>
    <w:lvl w:ilvl="0">
      <w:start w:val="8"/>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3B712BB6"/>
    <w:multiLevelType w:val="hybridMultilevel"/>
    <w:tmpl w:val="EB0859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E5B06"/>
    <w:multiLevelType w:val="hybridMultilevel"/>
    <w:tmpl w:val="822692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AD0068"/>
    <w:multiLevelType w:val="multilevel"/>
    <w:tmpl w:val="AC8E3ABC"/>
    <w:lvl w:ilvl="0">
      <w:start w:val="7"/>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6" w15:restartNumberingAfterBreak="0">
    <w:nsid w:val="41CA14BD"/>
    <w:multiLevelType w:val="hybridMultilevel"/>
    <w:tmpl w:val="78E8D9D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7" w15:restartNumberingAfterBreak="0">
    <w:nsid w:val="43F015EA"/>
    <w:multiLevelType w:val="multilevel"/>
    <w:tmpl w:val="1AFC8436"/>
    <w:lvl w:ilvl="0">
      <w:start w:val="6"/>
      <w:numFmt w:val="decimal"/>
      <w:lvlText w:val="%1.0"/>
      <w:lvlJc w:val="left"/>
      <w:pPr>
        <w:ind w:left="360" w:hanging="360"/>
      </w:pPr>
      <w:rPr>
        <w:rFonts w:hint="default"/>
        <w:u w:val="none"/>
      </w:rPr>
    </w:lvl>
    <w:lvl w:ilvl="1">
      <w:start w:val="1"/>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8" w15:restartNumberingAfterBreak="0">
    <w:nsid w:val="44970927"/>
    <w:multiLevelType w:val="hybridMultilevel"/>
    <w:tmpl w:val="990CD80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9" w15:restartNumberingAfterBreak="0">
    <w:nsid w:val="450B0B17"/>
    <w:multiLevelType w:val="multilevel"/>
    <w:tmpl w:val="669260E6"/>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90D3C7C"/>
    <w:multiLevelType w:val="multilevel"/>
    <w:tmpl w:val="2528B2E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961A57"/>
    <w:multiLevelType w:val="hybridMultilevel"/>
    <w:tmpl w:val="65A6E8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F5E7CDB"/>
    <w:multiLevelType w:val="hybridMultilevel"/>
    <w:tmpl w:val="4CFA9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4719E2"/>
    <w:multiLevelType w:val="hybridMultilevel"/>
    <w:tmpl w:val="6BBA23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3E5503E"/>
    <w:multiLevelType w:val="hybridMultilevel"/>
    <w:tmpl w:val="1E226516"/>
    <w:lvl w:ilvl="0" w:tplc="339C4526">
      <w:start w:val="1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56E31121"/>
    <w:multiLevelType w:val="hybridMultilevel"/>
    <w:tmpl w:val="F752A7DE"/>
    <w:lvl w:ilvl="0" w:tplc="4226FDF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6" w15:restartNumberingAfterBreak="0">
    <w:nsid w:val="582B2BCC"/>
    <w:multiLevelType w:val="hybridMultilevel"/>
    <w:tmpl w:val="C166F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B67D06"/>
    <w:multiLevelType w:val="hybridMultilevel"/>
    <w:tmpl w:val="625028AC"/>
    <w:lvl w:ilvl="0" w:tplc="CC28A004">
      <w:start w:val="1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5A8D2E9D"/>
    <w:multiLevelType w:val="hybridMultilevel"/>
    <w:tmpl w:val="08621B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D8F05D4"/>
    <w:multiLevelType w:val="multilevel"/>
    <w:tmpl w:val="95A6768C"/>
    <w:lvl w:ilvl="0">
      <w:start w:val="8"/>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6142709D"/>
    <w:multiLevelType w:val="hybridMultilevel"/>
    <w:tmpl w:val="A00C6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9F53C41"/>
    <w:multiLevelType w:val="multilevel"/>
    <w:tmpl w:val="905CC332"/>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2" w15:restartNumberingAfterBreak="0">
    <w:nsid w:val="6BE860AE"/>
    <w:multiLevelType w:val="hybridMultilevel"/>
    <w:tmpl w:val="808E62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C9A1C18"/>
    <w:multiLevelType w:val="hybridMultilevel"/>
    <w:tmpl w:val="D7CE82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CC80914"/>
    <w:multiLevelType w:val="hybridMultilevel"/>
    <w:tmpl w:val="7ED2AB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D540871"/>
    <w:multiLevelType w:val="hybridMultilevel"/>
    <w:tmpl w:val="F048792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36" w15:restartNumberingAfterBreak="0">
    <w:nsid w:val="6E6F5F4D"/>
    <w:multiLevelType w:val="hybridMultilevel"/>
    <w:tmpl w:val="829076BA"/>
    <w:lvl w:ilvl="0" w:tplc="55AACD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EFC7650"/>
    <w:multiLevelType w:val="hybridMultilevel"/>
    <w:tmpl w:val="54C8F1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F5D21A3"/>
    <w:multiLevelType w:val="hybridMultilevel"/>
    <w:tmpl w:val="BCB2AF8E"/>
    <w:lvl w:ilvl="0" w:tplc="E4BC7EB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FEF05AF"/>
    <w:multiLevelType w:val="hybridMultilevel"/>
    <w:tmpl w:val="640A51B8"/>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0" w15:restartNumberingAfterBreak="0">
    <w:nsid w:val="76B664DF"/>
    <w:multiLevelType w:val="multilevel"/>
    <w:tmpl w:val="F63017A4"/>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A491679"/>
    <w:multiLevelType w:val="multilevel"/>
    <w:tmpl w:val="8B26B886"/>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7B9670F1"/>
    <w:multiLevelType w:val="hybridMultilevel"/>
    <w:tmpl w:val="152A2D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C4239AA"/>
    <w:multiLevelType w:val="hybridMultilevel"/>
    <w:tmpl w:val="FF94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22"/>
  </w:num>
  <w:num w:numId="4">
    <w:abstractNumId w:val="26"/>
  </w:num>
  <w:num w:numId="5">
    <w:abstractNumId w:val="36"/>
  </w:num>
  <w:num w:numId="6">
    <w:abstractNumId w:val="11"/>
  </w:num>
  <w:num w:numId="7">
    <w:abstractNumId w:val="9"/>
  </w:num>
  <w:num w:numId="8">
    <w:abstractNumId w:val="13"/>
  </w:num>
  <w:num w:numId="9">
    <w:abstractNumId w:val="38"/>
  </w:num>
  <w:num w:numId="10">
    <w:abstractNumId w:val="28"/>
  </w:num>
  <w:num w:numId="11">
    <w:abstractNumId w:val="32"/>
  </w:num>
  <w:num w:numId="12">
    <w:abstractNumId w:val="5"/>
  </w:num>
  <w:num w:numId="13">
    <w:abstractNumId w:val="15"/>
  </w:num>
  <w:num w:numId="14">
    <w:abstractNumId w:val="4"/>
  </w:num>
  <w:num w:numId="15">
    <w:abstractNumId w:val="43"/>
  </w:num>
  <w:num w:numId="16">
    <w:abstractNumId w:val="30"/>
  </w:num>
  <w:num w:numId="17">
    <w:abstractNumId w:val="21"/>
  </w:num>
  <w:num w:numId="18">
    <w:abstractNumId w:val="17"/>
  </w:num>
  <w:num w:numId="19">
    <w:abstractNumId w:val="23"/>
  </w:num>
  <w:num w:numId="20">
    <w:abstractNumId w:val="39"/>
  </w:num>
  <w:num w:numId="21">
    <w:abstractNumId w:val="1"/>
  </w:num>
  <w:num w:numId="22">
    <w:abstractNumId w:val="37"/>
  </w:num>
  <w:num w:numId="23">
    <w:abstractNumId w:val="33"/>
  </w:num>
  <w:num w:numId="24">
    <w:abstractNumId w:val="18"/>
  </w:num>
  <w:num w:numId="25">
    <w:abstractNumId w:val="42"/>
  </w:num>
  <w:num w:numId="26">
    <w:abstractNumId w:val="14"/>
  </w:num>
  <w:num w:numId="27">
    <w:abstractNumId w:val="29"/>
  </w:num>
  <w:num w:numId="28">
    <w:abstractNumId w:val="12"/>
  </w:num>
  <w:num w:numId="29">
    <w:abstractNumId w:val="8"/>
  </w:num>
  <w:num w:numId="30">
    <w:abstractNumId w:val="40"/>
  </w:num>
  <w:num w:numId="31">
    <w:abstractNumId w:val="27"/>
  </w:num>
  <w:num w:numId="32">
    <w:abstractNumId w:val="24"/>
  </w:num>
  <w:num w:numId="33">
    <w:abstractNumId w:val="6"/>
  </w:num>
  <w:num w:numId="34">
    <w:abstractNumId w:val="2"/>
  </w:num>
  <w:num w:numId="35">
    <w:abstractNumId w:val="10"/>
  </w:num>
  <w:num w:numId="36">
    <w:abstractNumId w:val="41"/>
  </w:num>
  <w:num w:numId="37">
    <w:abstractNumId w:val="20"/>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0"/>
  </w:num>
  <w:num w:numId="44">
    <w:abstractNumId w:val="16"/>
  </w:num>
  <w:num w:numId="45">
    <w:abstractNumId w:val="25"/>
  </w:num>
  <w:num w:numId="46">
    <w:abstractNumId w:val="34"/>
  </w:num>
  <w:num w:numId="4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320"/>
    <w:rsid w:val="00005EDF"/>
    <w:rsid w:val="00011C2A"/>
    <w:rsid w:val="000140F2"/>
    <w:rsid w:val="000169E5"/>
    <w:rsid w:val="00022BB4"/>
    <w:rsid w:val="000250A7"/>
    <w:rsid w:val="00030087"/>
    <w:rsid w:val="000307F1"/>
    <w:rsid w:val="00032623"/>
    <w:rsid w:val="00033F08"/>
    <w:rsid w:val="00041358"/>
    <w:rsid w:val="00042427"/>
    <w:rsid w:val="00047E32"/>
    <w:rsid w:val="00053D3B"/>
    <w:rsid w:val="0005542A"/>
    <w:rsid w:val="00056072"/>
    <w:rsid w:val="00056B13"/>
    <w:rsid w:val="00066D98"/>
    <w:rsid w:val="0006762C"/>
    <w:rsid w:val="00074DDB"/>
    <w:rsid w:val="000763F3"/>
    <w:rsid w:val="00081EE5"/>
    <w:rsid w:val="000843C6"/>
    <w:rsid w:val="000861AF"/>
    <w:rsid w:val="00090C11"/>
    <w:rsid w:val="00091832"/>
    <w:rsid w:val="00091E9F"/>
    <w:rsid w:val="00091F30"/>
    <w:rsid w:val="00092E22"/>
    <w:rsid w:val="0009350E"/>
    <w:rsid w:val="00097F9A"/>
    <w:rsid w:val="000A062E"/>
    <w:rsid w:val="000A73CE"/>
    <w:rsid w:val="000B0301"/>
    <w:rsid w:val="000B2298"/>
    <w:rsid w:val="000B2353"/>
    <w:rsid w:val="000B4A7F"/>
    <w:rsid w:val="000B5FD4"/>
    <w:rsid w:val="000B7A50"/>
    <w:rsid w:val="000B7BC1"/>
    <w:rsid w:val="000C2A6E"/>
    <w:rsid w:val="000C363E"/>
    <w:rsid w:val="000C38C0"/>
    <w:rsid w:val="000C594D"/>
    <w:rsid w:val="000D0D8C"/>
    <w:rsid w:val="000D3DA2"/>
    <w:rsid w:val="000D5E08"/>
    <w:rsid w:val="000D7352"/>
    <w:rsid w:val="000D7567"/>
    <w:rsid w:val="000E0738"/>
    <w:rsid w:val="000E259B"/>
    <w:rsid w:val="000E25EC"/>
    <w:rsid w:val="000E2CCD"/>
    <w:rsid w:val="000F0868"/>
    <w:rsid w:val="000F08FB"/>
    <w:rsid w:val="000F1534"/>
    <w:rsid w:val="000F156E"/>
    <w:rsid w:val="000F2061"/>
    <w:rsid w:val="000F2BA0"/>
    <w:rsid w:val="000F5283"/>
    <w:rsid w:val="000F5A7F"/>
    <w:rsid w:val="000F6EA7"/>
    <w:rsid w:val="000F723A"/>
    <w:rsid w:val="001002CC"/>
    <w:rsid w:val="001002E8"/>
    <w:rsid w:val="00101BCD"/>
    <w:rsid w:val="001047F5"/>
    <w:rsid w:val="00107511"/>
    <w:rsid w:val="00112C67"/>
    <w:rsid w:val="00113F3C"/>
    <w:rsid w:val="001179E7"/>
    <w:rsid w:val="00120475"/>
    <w:rsid w:val="001207CF"/>
    <w:rsid w:val="00121BFE"/>
    <w:rsid w:val="00122B45"/>
    <w:rsid w:val="00123822"/>
    <w:rsid w:val="00125252"/>
    <w:rsid w:val="00127847"/>
    <w:rsid w:val="00133E5F"/>
    <w:rsid w:val="001347F1"/>
    <w:rsid w:val="00134925"/>
    <w:rsid w:val="00136030"/>
    <w:rsid w:val="00136317"/>
    <w:rsid w:val="00136567"/>
    <w:rsid w:val="00145254"/>
    <w:rsid w:val="001454F1"/>
    <w:rsid w:val="00145DFD"/>
    <w:rsid w:val="0015088C"/>
    <w:rsid w:val="00150AD9"/>
    <w:rsid w:val="00153606"/>
    <w:rsid w:val="001548F5"/>
    <w:rsid w:val="00154D63"/>
    <w:rsid w:val="00155F71"/>
    <w:rsid w:val="0015618B"/>
    <w:rsid w:val="00156A68"/>
    <w:rsid w:val="00170C2F"/>
    <w:rsid w:val="00171A2C"/>
    <w:rsid w:val="0017594E"/>
    <w:rsid w:val="0017694F"/>
    <w:rsid w:val="00176A9E"/>
    <w:rsid w:val="0018393E"/>
    <w:rsid w:val="00185F77"/>
    <w:rsid w:val="00187D85"/>
    <w:rsid w:val="00192E9C"/>
    <w:rsid w:val="0019350C"/>
    <w:rsid w:val="00193995"/>
    <w:rsid w:val="00194378"/>
    <w:rsid w:val="00195DB1"/>
    <w:rsid w:val="00195EC4"/>
    <w:rsid w:val="00196AF6"/>
    <w:rsid w:val="00196E71"/>
    <w:rsid w:val="00197143"/>
    <w:rsid w:val="0019724C"/>
    <w:rsid w:val="00197D25"/>
    <w:rsid w:val="001A07C1"/>
    <w:rsid w:val="001A0978"/>
    <w:rsid w:val="001A0FE7"/>
    <w:rsid w:val="001A3807"/>
    <w:rsid w:val="001A6B5B"/>
    <w:rsid w:val="001A6E55"/>
    <w:rsid w:val="001B021D"/>
    <w:rsid w:val="001B0C40"/>
    <w:rsid w:val="001B1E19"/>
    <w:rsid w:val="001B4CCC"/>
    <w:rsid w:val="001B4E8F"/>
    <w:rsid w:val="001B7666"/>
    <w:rsid w:val="001B7CE7"/>
    <w:rsid w:val="001C0757"/>
    <w:rsid w:val="001C19AD"/>
    <w:rsid w:val="001C4DA0"/>
    <w:rsid w:val="001C51AC"/>
    <w:rsid w:val="001C65D3"/>
    <w:rsid w:val="001C692E"/>
    <w:rsid w:val="001D25BC"/>
    <w:rsid w:val="001D528C"/>
    <w:rsid w:val="001D76D5"/>
    <w:rsid w:val="001E210D"/>
    <w:rsid w:val="001E465F"/>
    <w:rsid w:val="001E4CA4"/>
    <w:rsid w:val="001F1722"/>
    <w:rsid w:val="001F20B3"/>
    <w:rsid w:val="001F2EFC"/>
    <w:rsid w:val="001F47E1"/>
    <w:rsid w:val="001F58E5"/>
    <w:rsid w:val="001F64EB"/>
    <w:rsid w:val="001F74C6"/>
    <w:rsid w:val="00200B46"/>
    <w:rsid w:val="00203962"/>
    <w:rsid w:val="002059F9"/>
    <w:rsid w:val="00206C2F"/>
    <w:rsid w:val="0020710E"/>
    <w:rsid w:val="00211C3D"/>
    <w:rsid w:val="0021206F"/>
    <w:rsid w:val="00213453"/>
    <w:rsid w:val="00216191"/>
    <w:rsid w:val="00216D03"/>
    <w:rsid w:val="002209F5"/>
    <w:rsid w:val="00220CDE"/>
    <w:rsid w:val="002240FE"/>
    <w:rsid w:val="00224F8F"/>
    <w:rsid w:val="0022619C"/>
    <w:rsid w:val="002266ED"/>
    <w:rsid w:val="00226CE3"/>
    <w:rsid w:val="0022720C"/>
    <w:rsid w:val="00227EE1"/>
    <w:rsid w:val="00230563"/>
    <w:rsid w:val="00230830"/>
    <w:rsid w:val="00233742"/>
    <w:rsid w:val="00242303"/>
    <w:rsid w:val="00245ADD"/>
    <w:rsid w:val="00246E58"/>
    <w:rsid w:val="00247452"/>
    <w:rsid w:val="00252DF7"/>
    <w:rsid w:val="002566AF"/>
    <w:rsid w:val="00266895"/>
    <w:rsid w:val="00267957"/>
    <w:rsid w:val="00271DEA"/>
    <w:rsid w:val="00276402"/>
    <w:rsid w:val="00276686"/>
    <w:rsid w:val="002804AD"/>
    <w:rsid w:val="00280E99"/>
    <w:rsid w:val="0028154E"/>
    <w:rsid w:val="00282490"/>
    <w:rsid w:val="00282CF7"/>
    <w:rsid w:val="00284978"/>
    <w:rsid w:val="002876B8"/>
    <w:rsid w:val="002901B2"/>
    <w:rsid w:val="00291EB3"/>
    <w:rsid w:val="002921C7"/>
    <w:rsid w:val="00294B6C"/>
    <w:rsid w:val="002974C8"/>
    <w:rsid w:val="002A065C"/>
    <w:rsid w:val="002A09C1"/>
    <w:rsid w:val="002A12F8"/>
    <w:rsid w:val="002A188F"/>
    <w:rsid w:val="002A5784"/>
    <w:rsid w:val="002B23F1"/>
    <w:rsid w:val="002B2EB5"/>
    <w:rsid w:val="002C2DC9"/>
    <w:rsid w:val="002C4F99"/>
    <w:rsid w:val="002C5D95"/>
    <w:rsid w:val="002C6E91"/>
    <w:rsid w:val="002D6CE4"/>
    <w:rsid w:val="002D754E"/>
    <w:rsid w:val="002D7575"/>
    <w:rsid w:val="002D7C48"/>
    <w:rsid w:val="002E398F"/>
    <w:rsid w:val="002E3FB8"/>
    <w:rsid w:val="002E40A0"/>
    <w:rsid w:val="002E70BB"/>
    <w:rsid w:val="002F22B0"/>
    <w:rsid w:val="002F2E08"/>
    <w:rsid w:val="002F4702"/>
    <w:rsid w:val="002F5C09"/>
    <w:rsid w:val="00300063"/>
    <w:rsid w:val="00305148"/>
    <w:rsid w:val="00305DB4"/>
    <w:rsid w:val="00311646"/>
    <w:rsid w:val="00317580"/>
    <w:rsid w:val="00317EC5"/>
    <w:rsid w:val="0032016E"/>
    <w:rsid w:val="003211B5"/>
    <w:rsid w:val="003243E1"/>
    <w:rsid w:val="003265ED"/>
    <w:rsid w:val="0032731B"/>
    <w:rsid w:val="003276D0"/>
    <w:rsid w:val="00327799"/>
    <w:rsid w:val="00334053"/>
    <w:rsid w:val="00334793"/>
    <w:rsid w:val="003372E2"/>
    <w:rsid w:val="00342B2D"/>
    <w:rsid w:val="00343993"/>
    <w:rsid w:val="00344CBF"/>
    <w:rsid w:val="003452B6"/>
    <w:rsid w:val="00352588"/>
    <w:rsid w:val="003529B4"/>
    <w:rsid w:val="00353C7D"/>
    <w:rsid w:val="00356CED"/>
    <w:rsid w:val="00363E6B"/>
    <w:rsid w:val="00365F64"/>
    <w:rsid w:val="003664B6"/>
    <w:rsid w:val="00372168"/>
    <w:rsid w:val="00374050"/>
    <w:rsid w:val="003758CB"/>
    <w:rsid w:val="00376939"/>
    <w:rsid w:val="003770C7"/>
    <w:rsid w:val="0037797C"/>
    <w:rsid w:val="00381A0D"/>
    <w:rsid w:val="00383690"/>
    <w:rsid w:val="003839D0"/>
    <w:rsid w:val="00383AB4"/>
    <w:rsid w:val="00385CAF"/>
    <w:rsid w:val="003862A8"/>
    <w:rsid w:val="0038671E"/>
    <w:rsid w:val="00387193"/>
    <w:rsid w:val="00392270"/>
    <w:rsid w:val="0039282F"/>
    <w:rsid w:val="00392F67"/>
    <w:rsid w:val="00393516"/>
    <w:rsid w:val="00394295"/>
    <w:rsid w:val="00394D66"/>
    <w:rsid w:val="00395B51"/>
    <w:rsid w:val="00396423"/>
    <w:rsid w:val="003A189F"/>
    <w:rsid w:val="003A2CA4"/>
    <w:rsid w:val="003A3C80"/>
    <w:rsid w:val="003A72F3"/>
    <w:rsid w:val="003B19B5"/>
    <w:rsid w:val="003B2F27"/>
    <w:rsid w:val="003B32C4"/>
    <w:rsid w:val="003B4B8A"/>
    <w:rsid w:val="003B6590"/>
    <w:rsid w:val="003B71C1"/>
    <w:rsid w:val="003C141E"/>
    <w:rsid w:val="003C1FFA"/>
    <w:rsid w:val="003C2EAB"/>
    <w:rsid w:val="003C3FC3"/>
    <w:rsid w:val="003C4C0F"/>
    <w:rsid w:val="003C5B6C"/>
    <w:rsid w:val="003C6E13"/>
    <w:rsid w:val="003D1EAE"/>
    <w:rsid w:val="003D2B73"/>
    <w:rsid w:val="003D3239"/>
    <w:rsid w:val="003D42A8"/>
    <w:rsid w:val="003D43FA"/>
    <w:rsid w:val="003E0939"/>
    <w:rsid w:val="003E25D2"/>
    <w:rsid w:val="003E3628"/>
    <w:rsid w:val="003E3EF8"/>
    <w:rsid w:val="003F30EB"/>
    <w:rsid w:val="003F34CA"/>
    <w:rsid w:val="003F4543"/>
    <w:rsid w:val="003F4962"/>
    <w:rsid w:val="003F5E60"/>
    <w:rsid w:val="003F6AF1"/>
    <w:rsid w:val="00403171"/>
    <w:rsid w:val="00404855"/>
    <w:rsid w:val="00410350"/>
    <w:rsid w:val="004119DE"/>
    <w:rsid w:val="00413828"/>
    <w:rsid w:val="00413C04"/>
    <w:rsid w:val="0041587A"/>
    <w:rsid w:val="00415EC6"/>
    <w:rsid w:val="00416CFB"/>
    <w:rsid w:val="00416DD3"/>
    <w:rsid w:val="004238AD"/>
    <w:rsid w:val="0042772E"/>
    <w:rsid w:val="00430701"/>
    <w:rsid w:val="004332F7"/>
    <w:rsid w:val="0043408D"/>
    <w:rsid w:val="00437EF6"/>
    <w:rsid w:val="00442AC4"/>
    <w:rsid w:val="00444072"/>
    <w:rsid w:val="004468FC"/>
    <w:rsid w:val="004471EB"/>
    <w:rsid w:val="0045053D"/>
    <w:rsid w:val="0045071A"/>
    <w:rsid w:val="00451840"/>
    <w:rsid w:val="00451FAF"/>
    <w:rsid w:val="00453A38"/>
    <w:rsid w:val="00453B15"/>
    <w:rsid w:val="00453FB2"/>
    <w:rsid w:val="00454657"/>
    <w:rsid w:val="00455FC7"/>
    <w:rsid w:val="00457092"/>
    <w:rsid w:val="00463961"/>
    <w:rsid w:val="004654AC"/>
    <w:rsid w:val="004665ED"/>
    <w:rsid w:val="00466DF8"/>
    <w:rsid w:val="00471569"/>
    <w:rsid w:val="004736EE"/>
    <w:rsid w:val="00474CF0"/>
    <w:rsid w:val="00485001"/>
    <w:rsid w:val="0048522A"/>
    <w:rsid w:val="004853A4"/>
    <w:rsid w:val="00485B43"/>
    <w:rsid w:val="00485FCC"/>
    <w:rsid w:val="00486D7C"/>
    <w:rsid w:val="00490DC1"/>
    <w:rsid w:val="004919B4"/>
    <w:rsid w:val="004930C3"/>
    <w:rsid w:val="004958AC"/>
    <w:rsid w:val="00496743"/>
    <w:rsid w:val="0049713E"/>
    <w:rsid w:val="0049767C"/>
    <w:rsid w:val="004A2198"/>
    <w:rsid w:val="004A48AD"/>
    <w:rsid w:val="004A7BFC"/>
    <w:rsid w:val="004B21C9"/>
    <w:rsid w:val="004B28EF"/>
    <w:rsid w:val="004B395C"/>
    <w:rsid w:val="004B4567"/>
    <w:rsid w:val="004B517F"/>
    <w:rsid w:val="004B60AC"/>
    <w:rsid w:val="004B6214"/>
    <w:rsid w:val="004C12E8"/>
    <w:rsid w:val="004D036F"/>
    <w:rsid w:val="004D210D"/>
    <w:rsid w:val="004D7EA6"/>
    <w:rsid w:val="004E1EAA"/>
    <w:rsid w:val="004E2315"/>
    <w:rsid w:val="004E3161"/>
    <w:rsid w:val="004E43B2"/>
    <w:rsid w:val="004E46D3"/>
    <w:rsid w:val="004E4D62"/>
    <w:rsid w:val="004E4DF6"/>
    <w:rsid w:val="004E5808"/>
    <w:rsid w:val="004F525E"/>
    <w:rsid w:val="004F75EF"/>
    <w:rsid w:val="00501E4D"/>
    <w:rsid w:val="0050522B"/>
    <w:rsid w:val="00506C0A"/>
    <w:rsid w:val="00510F6A"/>
    <w:rsid w:val="00511E57"/>
    <w:rsid w:val="00512FB6"/>
    <w:rsid w:val="00521909"/>
    <w:rsid w:val="0052426A"/>
    <w:rsid w:val="00525003"/>
    <w:rsid w:val="005301A0"/>
    <w:rsid w:val="00530CAB"/>
    <w:rsid w:val="00532951"/>
    <w:rsid w:val="00534C1C"/>
    <w:rsid w:val="00536008"/>
    <w:rsid w:val="005404C2"/>
    <w:rsid w:val="00546117"/>
    <w:rsid w:val="0055005A"/>
    <w:rsid w:val="005519F5"/>
    <w:rsid w:val="0055200F"/>
    <w:rsid w:val="005539C9"/>
    <w:rsid w:val="00557349"/>
    <w:rsid w:val="005577FA"/>
    <w:rsid w:val="0056019D"/>
    <w:rsid w:val="0056102F"/>
    <w:rsid w:val="00564F52"/>
    <w:rsid w:val="00565A53"/>
    <w:rsid w:val="00572314"/>
    <w:rsid w:val="00572342"/>
    <w:rsid w:val="00573FC9"/>
    <w:rsid w:val="00576D8A"/>
    <w:rsid w:val="005771A2"/>
    <w:rsid w:val="0058044B"/>
    <w:rsid w:val="0058048A"/>
    <w:rsid w:val="005804F1"/>
    <w:rsid w:val="0058090D"/>
    <w:rsid w:val="0058164F"/>
    <w:rsid w:val="00581FA8"/>
    <w:rsid w:val="00587D39"/>
    <w:rsid w:val="005945A4"/>
    <w:rsid w:val="00594743"/>
    <w:rsid w:val="00595385"/>
    <w:rsid w:val="005958B5"/>
    <w:rsid w:val="005964BE"/>
    <w:rsid w:val="0059714E"/>
    <w:rsid w:val="00597A3E"/>
    <w:rsid w:val="005A12C3"/>
    <w:rsid w:val="005A5122"/>
    <w:rsid w:val="005A5662"/>
    <w:rsid w:val="005A7F20"/>
    <w:rsid w:val="005B00D6"/>
    <w:rsid w:val="005B0F79"/>
    <w:rsid w:val="005B168D"/>
    <w:rsid w:val="005B1F1B"/>
    <w:rsid w:val="005B5793"/>
    <w:rsid w:val="005B6E1B"/>
    <w:rsid w:val="005C0ABE"/>
    <w:rsid w:val="005C1DD1"/>
    <w:rsid w:val="005C3A74"/>
    <w:rsid w:val="005C4B68"/>
    <w:rsid w:val="005C4B95"/>
    <w:rsid w:val="005C5836"/>
    <w:rsid w:val="005D0A78"/>
    <w:rsid w:val="005D309A"/>
    <w:rsid w:val="005D3145"/>
    <w:rsid w:val="005D3738"/>
    <w:rsid w:val="005D481C"/>
    <w:rsid w:val="005D754C"/>
    <w:rsid w:val="005E1813"/>
    <w:rsid w:val="005E1F6C"/>
    <w:rsid w:val="005E2002"/>
    <w:rsid w:val="005E5DCF"/>
    <w:rsid w:val="005E62C7"/>
    <w:rsid w:val="005E6301"/>
    <w:rsid w:val="005E682F"/>
    <w:rsid w:val="005E7437"/>
    <w:rsid w:val="005F0A48"/>
    <w:rsid w:val="005F1CD2"/>
    <w:rsid w:val="005F26DB"/>
    <w:rsid w:val="005F7880"/>
    <w:rsid w:val="0060093C"/>
    <w:rsid w:val="006014E3"/>
    <w:rsid w:val="0060355F"/>
    <w:rsid w:val="00607C06"/>
    <w:rsid w:val="00610C32"/>
    <w:rsid w:val="00611DD0"/>
    <w:rsid w:val="00615119"/>
    <w:rsid w:val="006152A4"/>
    <w:rsid w:val="00615713"/>
    <w:rsid w:val="00616979"/>
    <w:rsid w:val="006200D6"/>
    <w:rsid w:val="00621CDC"/>
    <w:rsid w:val="0062285F"/>
    <w:rsid w:val="006247D1"/>
    <w:rsid w:val="00625A34"/>
    <w:rsid w:val="00625AD3"/>
    <w:rsid w:val="00625CDA"/>
    <w:rsid w:val="00627851"/>
    <w:rsid w:val="00632F2C"/>
    <w:rsid w:val="006336AD"/>
    <w:rsid w:val="006366F5"/>
    <w:rsid w:val="0064157F"/>
    <w:rsid w:val="00644EBD"/>
    <w:rsid w:val="006510C9"/>
    <w:rsid w:val="006520D7"/>
    <w:rsid w:val="00653B17"/>
    <w:rsid w:val="0065786B"/>
    <w:rsid w:val="00660F78"/>
    <w:rsid w:val="006645B7"/>
    <w:rsid w:val="00665B53"/>
    <w:rsid w:val="006671A1"/>
    <w:rsid w:val="00667435"/>
    <w:rsid w:val="006713DF"/>
    <w:rsid w:val="00672495"/>
    <w:rsid w:val="006726DD"/>
    <w:rsid w:val="00673CA5"/>
    <w:rsid w:val="00675FC1"/>
    <w:rsid w:val="00677157"/>
    <w:rsid w:val="006772F8"/>
    <w:rsid w:val="00684030"/>
    <w:rsid w:val="006868D0"/>
    <w:rsid w:val="00692E14"/>
    <w:rsid w:val="006951C5"/>
    <w:rsid w:val="0069723E"/>
    <w:rsid w:val="006A0973"/>
    <w:rsid w:val="006A1351"/>
    <w:rsid w:val="006A28DE"/>
    <w:rsid w:val="006A2A67"/>
    <w:rsid w:val="006A56D7"/>
    <w:rsid w:val="006A64C9"/>
    <w:rsid w:val="006B1464"/>
    <w:rsid w:val="006B20DD"/>
    <w:rsid w:val="006B2B14"/>
    <w:rsid w:val="006B3CC3"/>
    <w:rsid w:val="006B4E79"/>
    <w:rsid w:val="006B594F"/>
    <w:rsid w:val="006C036E"/>
    <w:rsid w:val="006C2194"/>
    <w:rsid w:val="006C3FE2"/>
    <w:rsid w:val="006C5357"/>
    <w:rsid w:val="006C6692"/>
    <w:rsid w:val="006C7466"/>
    <w:rsid w:val="006C7AA1"/>
    <w:rsid w:val="006D607D"/>
    <w:rsid w:val="006D793F"/>
    <w:rsid w:val="006E0511"/>
    <w:rsid w:val="006E11A1"/>
    <w:rsid w:val="006E13DD"/>
    <w:rsid w:val="006E2B76"/>
    <w:rsid w:val="006E2C40"/>
    <w:rsid w:val="006E4579"/>
    <w:rsid w:val="006E46DA"/>
    <w:rsid w:val="006E60E5"/>
    <w:rsid w:val="006F04A4"/>
    <w:rsid w:val="006F1C33"/>
    <w:rsid w:val="006F5706"/>
    <w:rsid w:val="006F6044"/>
    <w:rsid w:val="0070024E"/>
    <w:rsid w:val="007024DA"/>
    <w:rsid w:val="0070294D"/>
    <w:rsid w:val="007029AC"/>
    <w:rsid w:val="00706220"/>
    <w:rsid w:val="00707296"/>
    <w:rsid w:val="007129E3"/>
    <w:rsid w:val="00712D92"/>
    <w:rsid w:val="00713239"/>
    <w:rsid w:val="00713EEC"/>
    <w:rsid w:val="00714239"/>
    <w:rsid w:val="00714805"/>
    <w:rsid w:val="00715B13"/>
    <w:rsid w:val="007161AA"/>
    <w:rsid w:val="0071656D"/>
    <w:rsid w:val="007166A7"/>
    <w:rsid w:val="00716EF2"/>
    <w:rsid w:val="0072027C"/>
    <w:rsid w:val="00720C27"/>
    <w:rsid w:val="00722254"/>
    <w:rsid w:val="00722319"/>
    <w:rsid w:val="00725E52"/>
    <w:rsid w:val="007319EF"/>
    <w:rsid w:val="0073382A"/>
    <w:rsid w:val="00733BFB"/>
    <w:rsid w:val="00734925"/>
    <w:rsid w:val="00736733"/>
    <w:rsid w:val="007402CA"/>
    <w:rsid w:val="00742534"/>
    <w:rsid w:val="0074283D"/>
    <w:rsid w:val="0074334F"/>
    <w:rsid w:val="0074443C"/>
    <w:rsid w:val="0075309F"/>
    <w:rsid w:val="007538DF"/>
    <w:rsid w:val="0075687D"/>
    <w:rsid w:val="007568F3"/>
    <w:rsid w:val="00763C48"/>
    <w:rsid w:val="00765351"/>
    <w:rsid w:val="00765706"/>
    <w:rsid w:val="007657DF"/>
    <w:rsid w:val="00767367"/>
    <w:rsid w:val="007675F0"/>
    <w:rsid w:val="007700D0"/>
    <w:rsid w:val="00770482"/>
    <w:rsid w:val="0077221F"/>
    <w:rsid w:val="0077790D"/>
    <w:rsid w:val="007779BB"/>
    <w:rsid w:val="007800AB"/>
    <w:rsid w:val="007822ED"/>
    <w:rsid w:val="00782B5F"/>
    <w:rsid w:val="007832E9"/>
    <w:rsid w:val="00784E0F"/>
    <w:rsid w:val="00786E6D"/>
    <w:rsid w:val="00787061"/>
    <w:rsid w:val="0078744C"/>
    <w:rsid w:val="0079549F"/>
    <w:rsid w:val="00797BA8"/>
    <w:rsid w:val="007A44DB"/>
    <w:rsid w:val="007A6023"/>
    <w:rsid w:val="007A719F"/>
    <w:rsid w:val="007B0AEE"/>
    <w:rsid w:val="007B153B"/>
    <w:rsid w:val="007B18CD"/>
    <w:rsid w:val="007B1BA8"/>
    <w:rsid w:val="007B3946"/>
    <w:rsid w:val="007B4502"/>
    <w:rsid w:val="007C01A5"/>
    <w:rsid w:val="007C1AEF"/>
    <w:rsid w:val="007C1DA3"/>
    <w:rsid w:val="007C63A8"/>
    <w:rsid w:val="007D0E06"/>
    <w:rsid w:val="007D1265"/>
    <w:rsid w:val="007D3013"/>
    <w:rsid w:val="007D3A67"/>
    <w:rsid w:val="007D4878"/>
    <w:rsid w:val="007D5A30"/>
    <w:rsid w:val="007D783A"/>
    <w:rsid w:val="007E0B2F"/>
    <w:rsid w:val="007E1BC6"/>
    <w:rsid w:val="007E21D4"/>
    <w:rsid w:val="007E22B5"/>
    <w:rsid w:val="007E44B7"/>
    <w:rsid w:val="007E5729"/>
    <w:rsid w:val="007E765A"/>
    <w:rsid w:val="007E778D"/>
    <w:rsid w:val="007F0FEE"/>
    <w:rsid w:val="007F680B"/>
    <w:rsid w:val="007F6DAF"/>
    <w:rsid w:val="007F735F"/>
    <w:rsid w:val="007F7C88"/>
    <w:rsid w:val="008006C3"/>
    <w:rsid w:val="0080280C"/>
    <w:rsid w:val="00803859"/>
    <w:rsid w:val="0080492E"/>
    <w:rsid w:val="008072F9"/>
    <w:rsid w:val="00812E00"/>
    <w:rsid w:val="00814C15"/>
    <w:rsid w:val="00815391"/>
    <w:rsid w:val="0081760C"/>
    <w:rsid w:val="00820725"/>
    <w:rsid w:val="00820BDB"/>
    <w:rsid w:val="0082124B"/>
    <w:rsid w:val="00821A34"/>
    <w:rsid w:val="00821FC4"/>
    <w:rsid w:val="008227BB"/>
    <w:rsid w:val="00823FC4"/>
    <w:rsid w:val="00824013"/>
    <w:rsid w:val="00824914"/>
    <w:rsid w:val="00825D3F"/>
    <w:rsid w:val="00826383"/>
    <w:rsid w:val="008273A2"/>
    <w:rsid w:val="00830767"/>
    <w:rsid w:val="00833738"/>
    <w:rsid w:val="00833B3B"/>
    <w:rsid w:val="00833D24"/>
    <w:rsid w:val="008344A8"/>
    <w:rsid w:val="00835ABA"/>
    <w:rsid w:val="0083696E"/>
    <w:rsid w:val="00837478"/>
    <w:rsid w:val="00837972"/>
    <w:rsid w:val="00840198"/>
    <w:rsid w:val="0084025B"/>
    <w:rsid w:val="00841A25"/>
    <w:rsid w:val="00842F16"/>
    <w:rsid w:val="00844A43"/>
    <w:rsid w:val="00846724"/>
    <w:rsid w:val="008516FB"/>
    <w:rsid w:val="00852B57"/>
    <w:rsid w:val="00856A2D"/>
    <w:rsid w:val="00856D1A"/>
    <w:rsid w:val="00861468"/>
    <w:rsid w:val="00863D46"/>
    <w:rsid w:val="00864719"/>
    <w:rsid w:val="00864A02"/>
    <w:rsid w:val="0086669C"/>
    <w:rsid w:val="00866DD6"/>
    <w:rsid w:val="0087201A"/>
    <w:rsid w:val="00872972"/>
    <w:rsid w:val="00873264"/>
    <w:rsid w:val="008745C4"/>
    <w:rsid w:val="00875E6E"/>
    <w:rsid w:val="00876F57"/>
    <w:rsid w:val="00877FDB"/>
    <w:rsid w:val="008859FC"/>
    <w:rsid w:val="00887B97"/>
    <w:rsid w:val="00893C1D"/>
    <w:rsid w:val="008A1331"/>
    <w:rsid w:val="008A3471"/>
    <w:rsid w:val="008A3DBD"/>
    <w:rsid w:val="008A784A"/>
    <w:rsid w:val="008B452C"/>
    <w:rsid w:val="008B62DA"/>
    <w:rsid w:val="008C10E8"/>
    <w:rsid w:val="008C43D6"/>
    <w:rsid w:val="008C66FE"/>
    <w:rsid w:val="008D18D6"/>
    <w:rsid w:val="008D1C39"/>
    <w:rsid w:val="008D2236"/>
    <w:rsid w:val="008D31DE"/>
    <w:rsid w:val="008D3467"/>
    <w:rsid w:val="008D35A3"/>
    <w:rsid w:val="008D4C14"/>
    <w:rsid w:val="008D5020"/>
    <w:rsid w:val="008D6101"/>
    <w:rsid w:val="008D6E57"/>
    <w:rsid w:val="008D7ACC"/>
    <w:rsid w:val="008D7B82"/>
    <w:rsid w:val="008E039F"/>
    <w:rsid w:val="008E0DAC"/>
    <w:rsid w:val="008E558E"/>
    <w:rsid w:val="008E58FE"/>
    <w:rsid w:val="008E73F5"/>
    <w:rsid w:val="008E7C38"/>
    <w:rsid w:val="008F17BD"/>
    <w:rsid w:val="008F2BE3"/>
    <w:rsid w:val="008F4AE9"/>
    <w:rsid w:val="008F5113"/>
    <w:rsid w:val="008F5E1C"/>
    <w:rsid w:val="008F7E9E"/>
    <w:rsid w:val="009000A9"/>
    <w:rsid w:val="00900BEC"/>
    <w:rsid w:val="00900D23"/>
    <w:rsid w:val="00902492"/>
    <w:rsid w:val="00903F7A"/>
    <w:rsid w:val="00904330"/>
    <w:rsid w:val="00913651"/>
    <w:rsid w:val="0091559E"/>
    <w:rsid w:val="00915C8C"/>
    <w:rsid w:val="00915F18"/>
    <w:rsid w:val="00917AEF"/>
    <w:rsid w:val="00923D82"/>
    <w:rsid w:val="0092423C"/>
    <w:rsid w:val="009251E5"/>
    <w:rsid w:val="00926EF0"/>
    <w:rsid w:val="00927084"/>
    <w:rsid w:val="009338D5"/>
    <w:rsid w:val="00935929"/>
    <w:rsid w:val="009365F2"/>
    <w:rsid w:val="00936A95"/>
    <w:rsid w:val="0094020D"/>
    <w:rsid w:val="00940603"/>
    <w:rsid w:val="009409FF"/>
    <w:rsid w:val="00940F85"/>
    <w:rsid w:val="00941851"/>
    <w:rsid w:val="009423A5"/>
    <w:rsid w:val="0094297A"/>
    <w:rsid w:val="00943496"/>
    <w:rsid w:val="009455B5"/>
    <w:rsid w:val="0094593E"/>
    <w:rsid w:val="00945EBD"/>
    <w:rsid w:val="00946008"/>
    <w:rsid w:val="00947E1A"/>
    <w:rsid w:val="00950574"/>
    <w:rsid w:val="0095381F"/>
    <w:rsid w:val="00954CB0"/>
    <w:rsid w:val="00955235"/>
    <w:rsid w:val="009565FD"/>
    <w:rsid w:val="00962E07"/>
    <w:rsid w:val="009640C6"/>
    <w:rsid w:val="00964DF6"/>
    <w:rsid w:val="0096565F"/>
    <w:rsid w:val="00965A5C"/>
    <w:rsid w:val="00966867"/>
    <w:rsid w:val="00971F55"/>
    <w:rsid w:val="00973391"/>
    <w:rsid w:val="00973C48"/>
    <w:rsid w:val="00974BC8"/>
    <w:rsid w:val="009757D4"/>
    <w:rsid w:val="00975BDE"/>
    <w:rsid w:val="00975DAF"/>
    <w:rsid w:val="009814F8"/>
    <w:rsid w:val="00982036"/>
    <w:rsid w:val="009831F7"/>
    <w:rsid w:val="00983C13"/>
    <w:rsid w:val="00984B46"/>
    <w:rsid w:val="009856CF"/>
    <w:rsid w:val="009865FC"/>
    <w:rsid w:val="00990D99"/>
    <w:rsid w:val="00992065"/>
    <w:rsid w:val="00995171"/>
    <w:rsid w:val="00995380"/>
    <w:rsid w:val="00996324"/>
    <w:rsid w:val="009A013A"/>
    <w:rsid w:val="009A2CC3"/>
    <w:rsid w:val="009A30DB"/>
    <w:rsid w:val="009A3771"/>
    <w:rsid w:val="009A4321"/>
    <w:rsid w:val="009A4B9F"/>
    <w:rsid w:val="009A6373"/>
    <w:rsid w:val="009B0CA4"/>
    <w:rsid w:val="009B27BE"/>
    <w:rsid w:val="009B2913"/>
    <w:rsid w:val="009B385E"/>
    <w:rsid w:val="009B5525"/>
    <w:rsid w:val="009B7F21"/>
    <w:rsid w:val="009C07FE"/>
    <w:rsid w:val="009C1A11"/>
    <w:rsid w:val="009C2B3C"/>
    <w:rsid w:val="009C4ED0"/>
    <w:rsid w:val="009C53B6"/>
    <w:rsid w:val="009C5AE0"/>
    <w:rsid w:val="009D0ED7"/>
    <w:rsid w:val="009D3D39"/>
    <w:rsid w:val="009D6015"/>
    <w:rsid w:val="009D63EA"/>
    <w:rsid w:val="009E1AF6"/>
    <w:rsid w:val="009E2B9E"/>
    <w:rsid w:val="009E2C19"/>
    <w:rsid w:val="009E3F3D"/>
    <w:rsid w:val="009E402F"/>
    <w:rsid w:val="009E4851"/>
    <w:rsid w:val="009E5FB5"/>
    <w:rsid w:val="009F0B03"/>
    <w:rsid w:val="009F2F8C"/>
    <w:rsid w:val="009F5686"/>
    <w:rsid w:val="009F74CE"/>
    <w:rsid w:val="00A033EB"/>
    <w:rsid w:val="00A04EBC"/>
    <w:rsid w:val="00A05CC4"/>
    <w:rsid w:val="00A06781"/>
    <w:rsid w:val="00A10073"/>
    <w:rsid w:val="00A10111"/>
    <w:rsid w:val="00A11117"/>
    <w:rsid w:val="00A13632"/>
    <w:rsid w:val="00A160F3"/>
    <w:rsid w:val="00A172DD"/>
    <w:rsid w:val="00A175D2"/>
    <w:rsid w:val="00A22367"/>
    <w:rsid w:val="00A23039"/>
    <w:rsid w:val="00A2446C"/>
    <w:rsid w:val="00A250A3"/>
    <w:rsid w:val="00A253DF"/>
    <w:rsid w:val="00A25510"/>
    <w:rsid w:val="00A25C5C"/>
    <w:rsid w:val="00A30D3F"/>
    <w:rsid w:val="00A3466B"/>
    <w:rsid w:val="00A36ED3"/>
    <w:rsid w:val="00A3736F"/>
    <w:rsid w:val="00A37E07"/>
    <w:rsid w:val="00A4005B"/>
    <w:rsid w:val="00A40A9B"/>
    <w:rsid w:val="00A41069"/>
    <w:rsid w:val="00A4242C"/>
    <w:rsid w:val="00A442F7"/>
    <w:rsid w:val="00A46A84"/>
    <w:rsid w:val="00A46F87"/>
    <w:rsid w:val="00A50AC6"/>
    <w:rsid w:val="00A51572"/>
    <w:rsid w:val="00A5598A"/>
    <w:rsid w:val="00A62646"/>
    <w:rsid w:val="00A65F87"/>
    <w:rsid w:val="00A6795C"/>
    <w:rsid w:val="00A71936"/>
    <w:rsid w:val="00A72EE7"/>
    <w:rsid w:val="00A736C1"/>
    <w:rsid w:val="00A746B5"/>
    <w:rsid w:val="00A81810"/>
    <w:rsid w:val="00A82519"/>
    <w:rsid w:val="00A828B3"/>
    <w:rsid w:val="00A90B70"/>
    <w:rsid w:val="00A9231A"/>
    <w:rsid w:val="00A9399E"/>
    <w:rsid w:val="00A93B7D"/>
    <w:rsid w:val="00A946F8"/>
    <w:rsid w:val="00AA143A"/>
    <w:rsid w:val="00AA2356"/>
    <w:rsid w:val="00AA46DC"/>
    <w:rsid w:val="00AA54FE"/>
    <w:rsid w:val="00AB0F28"/>
    <w:rsid w:val="00AB1FE0"/>
    <w:rsid w:val="00AB25FB"/>
    <w:rsid w:val="00AB2EF7"/>
    <w:rsid w:val="00AB4461"/>
    <w:rsid w:val="00AB4C06"/>
    <w:rsid w:val="00AB5191"/>
    <w:rsid w:val="00AB55FA"/>
    <w:rsid w:val="00AB5643"/>
    <w:rsid w:val="00AB6C07"/>
    <w:rsid w:val="00AB762A"/>
    <w:rsid w:val="00AC040A"/>
    <w:rsid w:val="00AC1487"/>
    <w:rsid w:val="00AC5C50"/>
    <w:rsid w:val="00AC668D"/>
    <w:rsid w:val="00AC6F22"/>
    <w:rsid w:val="00AC7626"/>
    <w:rsid w:val="00AD1B7A"/>
    <w:rsid w:val="00AD228D"/>
    <w:rsid w:val="00AD267F"/>
    <w:rsid w:val="00AD44CB"/>
    <w:rsid w:val="00AE1016"/>
    <w:rsid w:val="00AE383A"/>
    <w:rsid w:val="00AE486D"/>
    <w:rsid w:val="00AE690C"/>
    <w:rsid w:val="00AF1D8C"/>
    <w:rsid w:val="00AF2772"/>
    <w:rsid w:val="00AF2A33"/>
    <w:rsid w:val="00AF3013"/>
    <w:rsid w:val="00AF558D"/>
    <w:rsid w:val="00AF5DD3"/>
    <w:rsid w:val="00B02916"/>
    <w:rsid w:val="00B05879"/>
    <w:rsid w:val="00B05C71"/>
    <w:rsid w:val="00B10C3B"/>
    <w:rsid w:val="00B12FC4"/>
    <w:rsid w:val="00B1691E"/>
    <w:rsid w:val="00B21778"/>
    <w:rsid w:val="00B22768"/>
    <w:rsid w:val="00B24737"/>
    <w:rsid w:val="00B24830"/>
    <w:rsid w:val="00B2487D"/>
    <w:rsid w:val="00B26FA1"/>
    <w:rsid w:val="00B277F6"/>
    <w:rsid w:val="00B337BE"/>
    <w:rsid w:val="00B349EC"/>
    <w:rsid w:val="00B34D2A"/>
    <w:rsid w:val="00B36DD9"/>
    <w:rsid w:val="00B41F41"/>
    <w:rsid w:val="00B43896"/>
    <w:rsid w:val="00B46D19"/>
    <w:rsid w:val="00B47D61"/>
    <w:rsid w:val="00B50FCE"/>
    <w:rsid w:val="00B52D14"/>
    <w:rsid w:val="00B537DF"/>
    <w:rsid w:val="00B55032"/>
    <w:rsid w:val="00B55968"/>
    <w:rsid w:val="00B56FFD"/>
    <w:rsid w:val="00B6037A"/>
    <w:rsid w:val="00B612F0"/>
    <w:rsid w:val="00B61F9E"/>
    <w:rsid w:val="00B62A4F"/>
    <w:rsid w:val="00B632A5"/>
    <w:rsid w:val="00B63E92"/>
    <w:rsid w:val="00B66886"/>
    <w:rsid w:val="00B669B1"/>
    <w:rsid w:val="00B67A1C"/>
    <w:rsid w:val="00B70A63"/>
    <w:rsid w:val="00B73DC2"/>
    <w:rsid w:val="00B77706"/>
    <w:rsid w:val="00B802F9"/>
    <w:rsid w:val="00B81319"/>
    <w:rsid w:val="00B8161A"/>
    <w:rsid w:val="00B824FB"/>
    <w:rsid w:val="00B82D8D"/>
    <w:rsid w:val="00B83275"/>
    <w:rsid w:val="00B910CB"/>
    <w:rsid w:val="00B91729"/>
    <w:rsid w:val="00B9407B"/>
    <w:rsid w:val="00B950A9"/>
    <w:rsid w:val="00B9764C"/>
    <w:rsid w:val="00BA01E1"/>
    <w:rsid w:val="00BA0310"/>
    <w:rsid w:val="00BA0E23"/>
    <w:rsid w:val="00BA485B"/>
    <w:rsid w:val="00BA49F3"/>
    <w:rsid w:val="00BA5CC3"/>
    <w:rsid w:val="00BA6117"/>
    <w:rsid w:val="00BB0EFF"/>
    <w:rsid w:val="00BB18CC"/>
    <w:rsid w:val="00BB1A7A"/>
    <w:rsid w:val="00BB2CCB"/>
    <w:rsid w:val="00BB3417"/>
    <w:rsid w:val="00BB5755"/>
    <w:rsid w:val="00BB6061"/>
    <w:rsid w:val="00BB7578"/>
    <w:rsid w:val="00BB792B"/>
    <w:rsid w:val="00BC08BE"/>
    <w:rsid w:val="00BC0ADB"/>
    <w:rsid w:val="00BC488A"/>
    <w:rsid w:val="00BC58EF"/>
    <w:rsid w:val="00BC7F89"/>
    <w:rsid w:val="00BD36BF"/>
    <w:rsid w:val="00BD50E0"/>
    <w:rsid w:val="00BD5AC4"/>
    <w:rsid w:val="00BD5D58"/>
    <w:rsid w:val="00BE08ED"/>
    <w:rsid w:val="00BE0D48"/>
    <w:rsid w:val="00BE4C2A"/>
    <w:rsid w:val="00BE4EA3"/>
    <w:rsid w:val="00BE5F37"/>
    <w:rsid w:val="00BF0867"/>
    <w:rsid w:val="00BF1AAF"/>
    <w:rsid w:val="00BF253D"/>
    <w:rsid w:val="00BF657A"/>
    <w:rsid w:val="00BF75A8"/>
    <w:rsid w:val="00C019CD"/>
    <w:rsid w:val="00C024E9"/>
    <w:rsid w:val="00C02B48"/>
    <w:rsid w:val="00C05692"/>
    <w:rsid w:val="00C05862"/>
    <w:rsid w:val="00C10205"/>
    <w:rsid w:val="00C10CAF"/>
    <w:rsid w:val="00C13B99"/>
    <w:rsid w:val="00C13DDF"/>
    <w:rsid w:val="00C13E3F"/>
    <w:rsid w:val="00C15C1A"/>
    <w:rsid w:val="00C20A4C"/>
    <w:rsid w:val="00C229E3"/>
    <w:rsid w:val="00C23D43"/>
    <w:rsid w:val="00C31B86"/>
    <w:rsid w:val="00C33F45"/>
    <w:rsid w:val="00C34152"/>
    <w:rsid w:val="00C409E5"/>
    <w:rsid w:val="00C41C16"/>
    <w:rsid w:val="00C44B9E"/>
    <w:rsid w:val="00C475B2"/>
    <w:rsid w:val="00C47D3C"/>
    <w:rsid w:val="00C47D6F"/>
    <w:rsid w:val="00C53048"/>
    <w:rsid w:val="00C53955"/>
    <w:rsid w:val="00C54286"/>
    <w:rsid w:val="00C60A73"/>
    <w:rsid w:val="00C62846"/>
    <w:rsid w:val="00C63D6E"/>
    <w:rsid w:val="00C6580D"/>
    <w:rsid w:val="00C65E1F"/>
    <w:rsid w:val="00C70032"/>
    <w:rsid w:val="00C71BB9"/>
    <w:rsid w:val="00C71FD5"/>
    <w:rsid w:val="00C741AE"/>
    <w:rsid w:val="00C741B9"/>
    <w:rsid w:val="00C76739"/>
    <w:rsid w:val="00C779F2"/>
    <w:rsid w:val="00C834A1"/>
    <w:rsid w:val="00C83E0E"/>
    <w:rsid w:val="00C84A27"/>
    <w:rsid w:val="00C85EBC"/>
    <w:rsid w:val="00C87FD7"/>
    <w:rsid w:val="00C87FF9"/>
    <w:rsid w:val="00C928DC"/>
    <w:rsid w:val="00C92DB0"/>
    <w:rsid w:val="00C9362C"/>
    <w:rsid w:val="00C93758"/>
    <w:rsid w:val="00C93B9A"/>
    <w:rsid w:val="00C943D2"/>
    <w:rsid w:val="00C96A75"/>
    <w:rsid w:val="00CA399B"/>
    <w:rsid w:val="00CA4037"/>
    <w:rsid w:val="00CA475C"/>
    <w:rsid w:val="00CA4DF6"/>
    <w:rsid w:val="00CA58F4"/>
    <w:rsid w:val="00CA5969"/>
    <w:rsid w:val="00CA59F9"/>
    <w:rsid w:val="00CA5B69"/>
    <w:rsid w:val="00CA7D3B"/>
    <w:rsid w:val="00CB6973"/>
    <w:rsid w:val="00CB7AA9"/>
    <w:rsid w:val="00CC09EE"/>
    <w:rsid w:val="00CC3FF0"/>
    <w:rsid w:val="00CC4374"/>
    <w:rsid w:val="00CC528B"/>
    <w:rsid w:val="00CC5F8B"/>
    <w:rsid w:val="00CC6E9B"/>
    <w:rsid w:val="00CD15C8"/>
    <w:rsid w:val="00CD3640"/>
    <w:rsid w:val="00CD6D0B"/>
    <w:rsid w:val="00CD730B"/>
    <w:rsid w:val="00CD7840"/>
    <w:rsid w:val="00CE03DE"/>
    <w:rsid w:val="00CE0BF0"/>
    <w:rsid w:val="00CE1225"/>
    <w:rsid w:val="00CE1485"/>
    <w:rsid w:val="00CE2190"/>
    <w:rsid w:val="00CE2FD6"/>
    <w:rsid w:val="00CE561D"/>
    <w:rsid w:val="00CF0035"/>
    <w:rsid w:val="00CF00E5"/>
    <w:rsid w:val="00CF0373"/>
    <w:rsid w:val="00CF1EFE"/>
    <w:rsid w:val="00CF33AE"/>
    <w:rsid w:val="00CF5B57"/>
    <w:rsid w:val="00D031EC"/>
    <w:rsid w:val="00D10CA6"/>
    <w:rsid w:val="00D138ED"/>
    <w:rsid w:val="00D14408"/>
    <w:rsid w:val="00D14C62"/>
    <w:rsid w:val="00D1613F"/>
    <w:rsid w:val="00D163F6"/>
    <w:rsid w:val="00D2018D"/>
    <w:rsid w:val="00D20B2A"/>
    <w:rsid w:val="00D20E63"/>
    <w:rsid w:val="00D212E0"/>
    <w:rsid w:val="00D21379"/>
    <w:rsid w:val="00D2168E"/>
    <w:rsid w:val="00D24D3E"/>
    <w:rsid w:val="00D24EA2"/>
    <w:rsid w:val="00D318BA"/>
    <w:rsid w:val="00D3301B"/>
    <w:rsid w:val="00D3334F"/>
    <w:rsid w:val="00D35599"/>
    <w:rsid w:val="00D35A44"/>
    <w:rsid w:val="00D36B09"/>
    <w:rsid w:val="00D37F36"/>
    <w:rsid w:val="00D41A57"/>
    <w:rsid w:val="00D4209C"/>
    <w:rsid w:val="00D44953"/>
    <w:rsid w:val="00D45F15"/>
    <w:rsid w:val="00D469A0"/>
    <w:rsid w:val="00D46BC5"/>
    <w:rsid w:val="00D521AB"/>
    <w:rsid w:val="00D52EF0"/>
    <w:rsid w:val="00D536E6"/>
    <w:rsid w:val="00D54011"/>
    <w:rsid w:val="00D540A5"/>
    <w:rsid w:val="00D566CE"/>
    <w:rsid w:val="00D57561"/>
    <w:rsid w:val="00D57A63"/>
    <w:rsid w:val="00D604A6"/>
    <w:rsid w:val="00D6127F"/>
    <w:rsid w:val="00D625EB"/>
    <w:rsid w:val="00D64375"/>
    <w:rsid w:val="00D668CE"/>
    <w:rsid w:val="00D67A6F"/>
    <w:rsid w:val="00D71A14"/>
    <w:rsid w:val="00D723E4"/>
    <w:rsid w:val="00D74A5D"/>
    <w:rsid w:val="00D758F3"/>
    <w:rsid w:val="00D76652"/>
    <w:rsid w:val="00D81572"/>
    <w:rsid w:val="00D83615"/>
    <w:rsid w:val="00D83FB8"/>
    <w:rsid w:val="00D857E0"/>
    <w:rsid w:val="00D85D69"/>
    <w:rsid w:val="00D865FB"/>
    <w:rsid w:val="00D877A4"/>
    <w:rsid w:val="00D9100A"/>
    <w:rsid w:val="00D910C9"/>
    <w:rsid w:val="00D91BC1"/>
    <w:rsid w:val="00D91CAA"/>
    <w:rsid w:val="00D96748"/>
    <w:rsid w:val="00D96CEE"/>
    <w:rsid w:val="00D978EC"/>
    <w:rsid w:val="00D97C88"/>
    <w:rsid w:val="00DA3F6D"/>
    <w:rsid w:val="00DA55EF"/>
    <w:rsid w:val="00DA7E7B"/>
    <w:rsid w:val="00DB11CC"/>
    <w:rsid w:val="00DB3E8C"/>
    <w:rsid w:val="00DB3F2E"/>
    <w:rsid w:val="00DB51A3"/>
    <w:rsid w:val="00DB6B97"/>
    <w:rsid w:val="00DB72CE"/>
    <w:rsid w:val="00DB75E4"/>
    <w:rsid w:val="00DC097E"/>
    <w:rsid w:val="00DC2320"/>
    <w:rsid w:val="00DC3074"/>
    <w:rsid w:val="00DC34A0"/>
    <w:rsid w:val="00DC7E78"/>
    <w:rsid w:val="00DD25AF"/>
    <w:rsid w:val="00DD3A93"/>
    <w:rsid w:val="00DE0C04"/>
    <w:rsid w:val="00DE1532"/>
    <w:rsid w:val="00DE3BAC"/>
    <w:rsid w:val="00DE6E69"/>
    <w:rsid w:val="00DF0781"/>
    <w:rsid w:val="00DF13C6"/>
    <w:rsid w:val="00DF4794"/>
    <w:rsid w:val="00DF5514"/>
    <w:rsid w:val="00DF56AF"/>
    <w:rsid w:val="00E01391"/>
    <w:rsid w:val="00E02EBF"/>
    <w:rsid w:val="00E03811"/>
    <w:rsid w:val="00E04734"/>
    <w:rsid w:val="00E04B40"/>
    <w:rsid w:val="00E0543D"/>
    <w:rsid w:val="00E057A3"/>
    <w:rsid w:val="00E0720B"/>
    <w:rsid w:val="00E074AD"/>
    <w:rsid w:val="00E10204"/>
    <w:rsid w:val="00E11743"/>
    <w:rsid w:val="00E13CD2"/>
    <w:rsid w:val="00E145AA"/>
    <w:rsid w:val="00E14E24"/>
    <w:rsid w:val="00E154CF"/>
    <w:rsid w:val="00E16B8D"/>
    <w:rsid w:val="00E17061"/>
    <w:rsid w:val="00E23944"/>
    <w:rsid w:val="00E25600"/>
    <w:rsid w:val="00E25AE4"/>
    <w:rsid w:val="00E314CE"/>
    <w:rsid w:val="00E31E52"/>
    <w:rsid w:val="00E32E21"/>
    <w:rsid w:val="00E33E57"/>
    <w:rsid w:val="00E35068"/>
    <w:rsid w:val="00E350C1"/>
    <w:rsid w:val="00E4414C"/>
    <w:rsid w:val="00E45B73"/>
    <w:rsid w:val="00E461E4"/>
    <w:rsid w:val="00E46C68"/>
    <w:rsid w:val="00E52FC9"/>
    <w:rsid w:val="00E569D9"/>
    <w:rsid w:val="00E578B7"/>
    <w:rsid w:val="00E60919"/>
    <w:rsid w:val="00E60CD4"/>
    <w:rsid w:val="00E60D5C"/>
    <w:rsid w:val="00E615C5"/>
    <w:rsid w:val="00E61D3D"/>
    <w:rsid w:val="00E63707"/>
    <w:rsid w:val="00E63B66"/>
    <w:rsid w:val="00E7106F"/>
    <w:rsid w:val="00E723F1"/>
    <w:rsid w:val="00E734A3"/>
    <w:rsid w:val="00E73501"/>
    <w:rsid w:val="00E73BB4"/>
    <w:rsid w:val="00E749C3"/>
    <w:rsid w:val="00E75BA2"/>
    <w:rsid w:val="00E76F8F"/>
    <w:rsid w:val="00E80F96"/>
    <w:rsid w:val="00E81D0C"/>
    <w:rsid w:val="00E8238C"/>
    <w:rsid w:val="00E82AA4"/>
    <w:rsid w:val="00E8456B"/>
    <w:rsid w:val="00E84C3F"/>
    <w:rsid w:val="00E8604E"/>
    <w:rsid w:val="00E8625E"/>
    <w:rsid w:val="00E8684D"/>
    <w:rsid w:val="00E90F5D"/>
    <w:rsid w:val="00E915F4"/>
    <w:rsid w:val="00E92506"/>
    <w:rsid w:val="00E942C8"/>
    <w:rsid w:val="00E945C0"/>
    <w:rsid w:val="00E958B8"/>
    <w:rsid w:val="00E95A39"/>
    <w:rsid w:val="00E96059"/>
    <w:rsid w:val="00EA0BF7"/>
    <w:rsid w:val="00EA1A1F"/>
    <w:rsid w:val="00EA25AA"/>
    <w:rsid w:val="00EA25DB"/>
    <w:rsid w:val="00EA6834"/>
    <w:rsid w:val="00EB0501"/>
    <w:rsid w:val="00EB0B14"/>
    <w:rsid w:val="00EB1B5B"/>
    <w:rsid w:val="00EB2AE8"/>
    <w:rsid w:val="00EC05BE"/>
    <w:rsid w:val="00EC23E2"/>
    <w:rsid w:val="00EC3200"/>
    <w:rsid w:val="00EC3495"/>
    <w:rsid w:val="00EC3D79"/>
    <w:rsid w:val="00EC40E0"/>
    <w:rsid w:val="00EC506A"/>
    <w:rsid w:val="00EC509C"/>
    <w:rsid w:val="00EC5CB5"/>
    <w:rsid w:val="00ED3C44"/>
    <w:rsid w:val="00ED419B"/>
    <w:rsid w:val="00ED63FD"/>
    <w:rsid w:val="00EE208D"/>
    <w:rsid w:val="00EE217E"/>
    <w:rsid w:val="00EE32E5"/>
    <w:rsid w:val="00EE48A6"/>
    <w:rsid w:val="00EE4FD8"/>
    <w:rsid w:val="00EF0FC4"/>
    <w:rsid w:val="00EF2B1B"/>
    <w:rsid w:val="00EF5678"/>
    <w:rsid w:val="00EF72C0"/>
    <w:rsid w:val="00F0030F"/>
    <w:rsid w:val="00F02D76"/>
    <w:rsid w:val="00F03C4B"/>
    <w:rsid w:val="00F070CF"/>
    <w:rsid w:val="00F0783B"/>
    <w:rsid w:val="00F106A0"/>
    <w:rsid w:val="00F13678"/>
    <w:rsid w:val="00F1578F"/>
    <w:rsid w:val="00F23BDD"/>
    <w:rsid w:val="00F24979"/>
    <w:rsid w:val="00F25CDB"/>
    <w:rsid w:val="00F25F38"/>
    <w:rsid w:val="00F30EF8"/>
    <w:rsid w:val="00F33EE2"/>
    <w:rsid w:val="00F3408B"/>
    <w:rsid w:val="00F372A8"/>
    <w:rsid w:val="00F37613"/>
    <w:rsid w:val="00F377E9"/>
    <w:rsid w:val="00F407AF"/>
    <w:rsid w:val="00F426EC"/>
    <w:rsid w:val="00F42E8C"/>
    <w:rsid w:val="00F43D8F"/>
    <w:rsid w:val="00F460D9"/>
    <w:rsid w:val="00F4745E"/>
    <w:rsid w:val="00F52E02"/>
    <w:rsid w:val="00F541ED"/>
    <w:rsid w:val="00F5461E"/>
    <w:rsid w:val="00F61436"/>
    <w:rsid w:val="00F63099"/>
    <w:rsid w:val="00F66489"/>
    <w:rsid w:val="00F7222D"/>
    <w:rsid w:val="00F72ED6"/>
    <w:rsid w:val="00F7353A"/>
    <w:rsid w:val="00F73E74"/>
    <w:rsid w:val="00F812FE"/>
    <w:rsid w:val="00F81962"/>
    <w:rsid w:val="00F82176"/>
    <w:rsid w:val="00F846C2"/>
    <w:rsid w:val="00F84B55"/>
    <w:rsid w:val="00F9254A"/>
    <w:rsid w:val="00FA2EF7"/>
    <w:rsid w:val="00FA3F38"/>
    <w:rsid w:val="00FA4F68"/>
    <w:rsid w:val="00FA558D"/>
    <w:rsid w:val="00FA57F9"/>
    <w:rsid w:val="00FA5D80"/>
    <w:rsid w:val="00FA7F5E"/>
    <w:rsid w:val="00FB0821"/>
    <w:rsid w:val="00FB2043"/>
    <w:rsid w:val="00FB277A"/>
    <w:rsid w:val="00FB371E"/>
    <w:rsid w:val="00FB4E8F"/>
    <w:rsid w:val="00FC041C"/>
    <w:rsid w:val="00FC1C59"/>
    <w:rsid w:val="00FC2EB4"/>
    <w:rsid w:val="00FC3E29"/>
    <w:rsid w:val="00FC4903"/>
    <w:rsid w:val="00FC5285"/>
    <w:rsid w:val="00FD0F4D"/>
    <w:rsid w:val="00FD5890"/>
    <w:rsid w:val="00FD650B"/>
    <w:rsid w:val="00FE22DC"/>
    <w:rsid w:val="00FE31AC"/>
    <w:rsid w:val="00FE7B9A"/>
    <w:rsid w:val="00FF1D48"/>
    <w:rsid w:val="00FF3925"/>
    <w:rsid w:val="00FF3B08"/>
    <w:rsid w:val="00FF50C9"/>
    <w:rsid w:val="00FF5299"/>
    <w:rsid w:val="00FF5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8085"/>
  <w15:docId w15:val="{3B5CDC77-07BC-48AF-B2AF-C13F7A6B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D23"/>
    <w:pPr>
      <w:spacing w:after="0" w:line="240" w:lineRule="auto"/>
    </w:pPr>
  </w:style>
  <w:style w:type="table" w:styleId="TableGrid">
    <w:name w:val="Table Grid"/>
    <w:basedOn w:val="TableNormal"/>
    <w:uiPriority w:val="59"/>
    <w:rsid w:val="00DC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0A9"/>
    <w:pPr>
      <w:ind w:left="720"/>
      <w:contextualSpacing/>
    </w:pPr>
  </w:style>
  <w:style w:type="character" w:styleId="Hyperlink">
    <w:name w:val="Hyperlink"/>
    <w:basedOn w:val="DefaultParagraphFont"/>
    <w:uiPriority w:val="99"/>
    <w:unhideWhenUsed/>
    <w:rsid w:val="00F106A0"/>
    <w:rPr>
      <w:color w:val="0000FF" w:themeColor="hyperlink"/>
      <w:u w:val="single"/>
    </w:rPr>
  </w:style>
  <w:style w:type="paragraph" w:styleId="BalloonText">
    <w:name w:val="Balloon Text"/>
    <w:basedOn w:val="Normal"/>
    <w:link w:val="BalloonTextChar"/>
    <w:uiPriority w:val="99"/>
    <w:semiHidden/>
    <w:unhideWhenUsed/>
    <w:rsid w:val="00197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25"/>
    <w:rPr>
      <w:rFonts w:ascii="Segoe UI" w:hAnsi="Segoe UI" w:cs="Segoe UI"/>
      <w:sz w:val="18"/>
      <w:szCs w:val="18"/>
    </w:rPr>
  </w:style>
  <w:style w:type="character" w:styleId="FollowedHyperlink">
    <w:name w:val="FollowedHyperlink"/>
    <w:basedOn w:val="DefaultParagraphFont"/>
    <w:uiPriority w:val="99"/>
    <w:semiHidden/>
    <w:unhideWhenUsed/>
    <w:rsid w:val="00F25CDB"/>
    <w:rPr>
      <w:color w:val="800080" w:themeColor="followedHyperlink"/>
      <w:u w:val="single"/>
    </w:rPr>
  </w:style>
  <w:style w:type="paragraph" w:styleId="Header">
    <w:name w:val="header"/>
    <w:basedOn w:val="Normal"/>
    <w:link w:val="HeaderChar"/>
    <w:rsid w:val="0067715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77157"/>
    <w:rPr>
      <w:rFonts w:ascii="Times New Roman" w:eastAsia="Times New Roman" w:hAnsi="Times New Roman" w:cs="Times New Roman"/>
      <w:sz w:val="24"/>
      <w:szCs w:val="24"/>
    </w:rPr>
  </w:style>
  <w:style w:type="character" w:customStyle="1" w:styleId="fontstyle01">
    <w:name w:val="fontstyle01"/>
    <w:basedOn w:val="DefaultParagraphFont"/>
    <w:rsid w:val="00677157"/>
    <w:rPr>
      <w:rFonts w:ascii="ArialMT" w:hAnsi="ArialMT" w:hint="default"/>
      <w:b w:val="0"/>
      <w:bCs w:val="0"/>
      <w:i w:val="0"/>
      <w:iCs w:val="0"/>
      <w:color w:val="000000"/>
      <w:sz w:val="22"/>
      <w:szCs w:val="22"/>
    </w:rPr>
  </w:style>
  <w:style w:type="character" w:customStyle="1" w:styleId="fontstyle31">
    <w:name w:val="fontstyle31"/>
    <w:basedOn w:val="DefaultParagraphFont"/>
    <w:rsid w:val="00677157"/>
    <w:rPr>
      <w:rFonts w:ascii="SymbolMT" w:hAnsi="SymbolMT" w:hint="default"/>
      <w:b w:val="0"/>
      <w:bCs w:val="0"/>
      <w:i w:val="0"/>
      <w:iCs w:val="0"/>
      <w:color w:val="000000"/>
      <w:sz w:val="22"/>
      <w:szCs w:val="22"/>
    </w:rPr>
  </w:style>
  <w:style w:type="paragraph" w:customStyle="1" w:styleId="Default">
    <w:name w:val="Default"/>
    <w:rsid w:val="00CA4DF6"/>
    <w:pPr>
      <w:autoSpaceDE w:val="0"/>
      <w:autoSpaceDN w:val="0"/>
      <w:adjustRightInd w:val="0"/>
      <w:spacing w:after="0" w:line="240" w:lineRule="auto"/>
    </w:pPr>
    <w:rPr>
      <w:rFonts w:ascii="Calibri" w:hAnsi="Calibri" w:cs="Calibri"/>
      <w:color w:val="000000"/>
      <w:sz w:val="24"/>
      <w:szCs w:val="24"/>
    </w:rPr>
  </w:style>
  <w:style w:type="character" w:customStyle="1" w:styleId="fontstyle21">
    <w:name w:val="fontstyle21"/>
    <w:basedOn w:val="DefaultParagraphFont"/>
    <w:rsid w:val="00D71A14"/>
    <w:rPr>
      <w:rFonts w:ascii="Calibri" w:hAnsi="Calibri"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sid w:val="00BC0ADB"/>
    <w:rPr>
      <w:color w:val="605E5C"/>
      <w:shd w:val="clear" w:color="auto" w:fill="E1DFDD"/>
    </w:rPr>
  </w:style>
  <w:style w:type="character" w:customStyle="1" w:styleId="UnresolvedMention2">
    <w:name w:val="Unresolved Mention2"/>
    <w:basedOn w:val="DefaultParagraphFont"/>
    <w:uiPriority w:val="99"/>
    <w:semiHidden/>
    <w:unhideWhenUsed/>
    <w:rsid w:val="00E80F96"/>
    <w:rPr>
      <w:color w:val="605E5C"/>
      <w:shd w:val="clear" w:color="auto" w:fill="E1DFDD"/>
    </w:rPr>
  </w:style>
  <w:style w:type="paragraph" w:styleId="PlainText">
    <w:name w:val="Plain Text"/>
    <w:basedOn w:val="Normal"/>
    <w:link w:val="PlainTextChar"/>
    <w:uiPriority w:val="99"/>
    <w:unhideWhenUsed/>
    <w:rsid w:val="007024D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024DA"/>
    <w:rPr>
      <w:rFonts w:ascii="Calibri" w:hAnsi="Calibri"/>
      <w:szCs w:val="21"/>
    </w:rPr>
  </w:style>
  <w:style w:type="character" w:customStyle="1" w:styleId="fontstyle41">
    <w:name w:val="fontstyle41"/>
    <w:basedOn w:val="DefaultParagraphFont"/>
    <w:rsid w:val="006951C5"/>
    <w:rPr>
      <w:rFonts w:ascii="Symbol" w:hAnsi="Symbol" w:hint="default"/>
      <w:b w:val="0"/>
      <w:bCs w:val="0"/>
      <w:i w:val="0"/>
      <w:iCs w:val="0"/>
      <w:color w:val="000000"/>
      <w:sz w:val="24"/>
      <w:szCs w:val="24"/>
    </w:rPr>
  </w:style>
  <w:style w:type="character" w:styleId="CommentReference">
    <w:name w:val="annotation reference"/>
    <w:basedOn w:val="DefaultParagraphFont"/>
    <w:uiPriority w:val="99"/>
    <w:semiHidden/>
    <w:unhideWhenUsed/>
    <w:rsid w:val="00FE7B9A"/>
    <w:rPr>
      <w:sz w:val="16"/>
      <w:szCs w:val="16"/>
    </w:rPr>
  </w:style>
  <w:style w:type="paragraph" w:styleId="CommentText">
    <w:name w:val="annotation text"/>
    <w:basedOn w:val="Normal"/>
    <w:link w:val="CommentTextChar"/>
    <w:uiPriority w:val="99"/>
    <w:semiHidden/>
    <w:unhideWhenUsed/>
    <w:rsid w:val="00FE7B9A"/>
    <w:pPr>
      <w:spacing w:line="240" w:lineRule="auto"/>
    </w:pPr>
    <w:rPr>
      <w:sz w:val="20"/>
      <w:szCs w:val="20"/>
    </w:rPr>
  </w:style>
  <w:style w:type="character" w:customStyle="1" w:styleId="CommentTextChar">
    <w:name w:val="Comment Text Char"/>
    <w:basedOn w:val="DefaultParagraphFont"/>
    <w:link w:val="CommentText"/>
    <w:uiPriority w:val="99"/>
    <w:semiHidden/>
    <w:rsid w:val="00FE7B9A"/>
    <w:rPr>
      <w:sz w:val="20"/>
      <w:szCs w:val="20"/>
    </w:rPr>
  </w:style>
  <w:style w:type="paragraph" w:styleId="CommentSubject">
    <w:name w:val="annotation subject"/>
    <w:basedOn w:val="CommentText"/>
    <w:next w:val="CommentText"/>
    <w:link w:val="CommentSubjectChar"/>
    <w:uiPriority w:val="99"/>
    <w:semiHidden/>
    <w:unhideWhenUsed/>
    <w:rsid w:val="00FE7B9A"/>
    <w:rPr>
      <w:b/>
      <w:bCs/>
    </w:rPr>
  </w:style>
  <w:style w:type="character" w:customStyle="1" w:styleId="CommentSubjectChar">
    <w:name w:val="Comment Subject Char"/>
    <w:basedOn w:val="CommentTextChar"/>
    <w:link w:val="CommentSubject"/>
    <w:uiPriority w:val="99"/>
    <w:semiHidden/>
    <w:rsid w:val="00FE7B9A"/>
    <w:rPr>
      <w:b/>
      <w:bCs/>
      <w:sz w:val="20"/>
      <w:szCs w:val="20"/>
    </w:rPr>
  </w:style>
  <w:style w:type="character" w:customStyle="1" w:styleId="normaltextrun">
    <w:name w:val="normaltextrun"/>
    <w:basedOn w:val="DefaultParagraphFont"/>
    <w:rsid w:val="00387193"/>
  </w:style>
  <w:style w:type="character" w:customStyle="1" w:styleId="eop">
    <w:name w:val="eop"/>
    <w:basedOn w:val="DefaultParagraphFont"/>
    <w:rsid w:val="0038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92242">
      <w:bodyDiv w:val="1"/>
      <w:marLeft w:val="0"/>
      <w:marRight w:val="0"/>
      <w:marTop w:val="0"/>
      <w:marBottom w:val="0"/>
      <w:divBdr>
        <w:top w:val="none" w:sz="0" w:space="0" w:color="auto"/>
        <w:left w:val="none" w:sz="0" w:space="0" w:color="auto"/>
        <w:bottom w:val="none" w:sz="0" w:space="0" w:color="auto"/>
        <w:right w:val="none" w:sz="0" w:space="0" w:color="auto"/>
      </w:divBdr>
    </w:div>
    <w:div w:id="225262776">
      <w:bodyDiv w:val="1"/>
      <w:marLeft w:val="0"/>
      <w:marRight w:val="0"/>
      <w:marTop w:val="0"/>
      <w:marBottom w:val="0"/>
      <w:divBdr>
        <w:top w:val="none" w:sz="0" w:space="0" w:color="auto"/>
        <w:left w:val="none" w:sz="0" w:space="0" w:color="auto"/>
        <w:bottom w:val="none" w:sz="0" w:space="0" w:color="auto"/>
        <w:right w:val="none" w:sz="0" w:space="0" w:color="auto"/>
      </w:divBdr>
    </w:div>
    <w:div w:id="355886644">
      <w:bodyDiv w:val="1"/>
      <w:marLeft w:val="0"/>
      <w:marRight w:val="0"/>
      <w:marTop w:val="0"/>
      <w:marBottom w:val="0"/>
      <w:divBdr>
        <w:top w:val="none" w:sz="0" w:space="0" w:color="auto"/>
        <w:left w:val="none" w:sz="0" w:space="0" w:color="auto"/>
        <w:bottom w:val="none" w:sz="0" w:space="0" w:color="auto"/>
        <w:right w:val="none" w:sz="0" w:space="0" w:color="auto"/>
      </w:divBdr>
    </w:div>
    <w:div w:id="744912683">
      <w:bodyDiv w:val="1"/>
      <w:marLeft w:val="0"/>
      <w:marRight w:val="0"/>
      <w:marTop w:val="0"/>
      <w:marBottom w:val="0"/>
      <w:divBdr>
        <w:top w:val="none" w:sz="0" w:space="0" w:color="auto"/>
        <w:left w:val="none" w:sz="0" w:space="0" w:color="auto"/>
        <w:bottom w:val="none" w:sz="0" w:space="0" w:color="auto"/>
        <w:right w:val="none" w:sz="0" w:space="0" w:color="auto"/>
      </w:divBdr>
    </w:div>
    <w:div w:id="793789790">
      <w:bodyDiv w:val="1"/>
      <w:marLeft w:val="0"/>
      <w:marRight w:val="0"/>
      <w:marTop w:val="0"/>
      <w:marBottom w:val="0"/>
      <w:divBdr>
        <w:top w:val="none" w:sz="0" w:space="0" w:color="auto"/>
        <w:left w:val="none" w:sz="0" w:space="0" w:color="auto"/>
        <w:bottom w:val="none" w:sz="0" w:space="0" w:color="auto"/>
        <w:right w:val="none" w:sz="0" w:space="0" w:color="auto"/>
      </w:divBdr>
    </w:div>
    <w:div w:id="1430000848">
      <w:bodyDiv w:val="1"/>
      <w:marLeft w:val="0"/>
      <w:marRight w:val="0"/>
      <w:marTop w:val="0"/>
      <w:marBottom w:val="0"/>
      <w:divBdr>
        <w:top w:val="none" w:sz="0" w:space="0" w:color="auto"/>
        <w:left w:val="none" w:sz="0" w:space="0" w:color="auto"/>
        <w:bottom w:val="none" w:sz="0" w:space="0" w:color="auto"/>
        <w:right w:val="none" w:sz="0" w:space="0" w:color="auto"/>
      </w:divBdr>
      <w:divsChild>
        <w:div w:id="61879408">
          <w:marLeft w:val="0"/>
          <w:marRight w:val="0"/>
          <w:marTop w:val="0"/>
          <w:marBottom w:val="0"/>
          <w:divBdr>
            <w:top w:val="none" w:sz="0" w:space="0" w:color="auto"/>
            <w:left w:val="none" w:sz="0" w:space="0" w:color="auto"/>
            <w:bottom w:val="none" w:sz="0" w:space="0" w:color="auto"/>
            <w:right w:val="none" w:sz="0" w:space="0" w:color="auto"/>
          </w:divBdr>
          <w:divsChild>
            <w:div w:id="579602147">
              <w:marLeft w:val="0"/>
              <w:marRight w:val="0"/>
              <w:marTop w:val="0"/>
              <w:marBottom w:val="0"/>
              <w:divBdr>
                <w:top w:val="none" w:sz="0" w:space="0" w:color="auto"/>
                <w:left w:val="none" w:sz="0" w:space="0" w:color="auto"/>
                <w:bottom w:val="none" w:sz="0" w:space="0" w:color="auto"/>
                <w:right w:val="none" w:sz="0" w:space="0" w:color="auto"/>
              </w:divBdr>
              <w:divsChild>
                <w:div w:id="350956534">
                  <w:marLeft w:val="0"/>
                  <w:marRight w:val="0"/>
                  <w:marTop w:val="0"/>
                  <w:marBottom w:val="0"/>
                  <w:divBdr>
                    <w:top w:val="single" w:sz="6" w:space="0" w:color="DDDDDD"/>
                    <w:left w:val="none" w:sz="0" w:space="0" w:color="auto"/>
                    <w:bottom w:val="none" w:sz="0" w:space="0" w:color="auto"/>
                    <w:right w:val="none" w:sz="0" w:space="0" w:color="auto"/>
                  </w:divBdr>
                  <w:divsChild>
                    <w:div w:id="2112044474">
                      <w:marLeft w:val="345"/>
                      <w:marRight w:val="360"/>
                      <w:marTop w:val="375"/>
                      <w:marBottom w:val="330"/>
                      <w:divBdr>
                        <w:top w:val="none" w:sz="0" w:space="0" w:color="auto"/>
                        <w:left w:val="none" w:sz="0" w:space="0" w:color="auto"/>
                        <w:bottom w:val="none" w:sz="0" w:space="0" w:color="auto"/>
                        <w:right w:val="none" w:sz="0" w:space="0" w:color="auto"/>
                      </w:divBdr>
                      <w:divsChild>
                        <w:div w:id="1223978107">
                          <w:marLeft w:val="0"/>
                          <w:marRight w:val="0"/>
                          <w:marTop w:val="0"/>
                          <w:marBottom w:val="0"/>
                          <w:divBdr>
                            <w:top w:val="none" w:sz="0" w:space="0" w:color="auto"/>
                            <w:left w:val="none" w:sz="0" w:space="0" w:color="auto"/>
                            <w:bottom w:val="none" w:sz="0" w:space="0" w:color="auto"/>
                            <w:right w:val="none" w:sz="0" w:space="0" w:color="auto"/>
                          </w:divBdr>
                        </w:div>
                        <w:div w:id="1511791908">
                          <w:marLeft w:val="0"/>
                          <w:marRight w:val="0"/>
                          <w:marTop w:val="0"/>
                          <w:marBottom w:val="0"/>
                          <w:divBdr>
                            <w:top w:val="none" w:sz="0" w:space="0" w:color="auto"/>
                            <w:left w:val="none" w:sz="0" w:space="0" w:color="auto"/>
                            <w:bottom w:val="none" w:sz="0" w:space="0" w:color="auto"/>
                            <w:right w:val="none" w:sz="0" w:space="0" w:color="auto"/>
                          </w:divBdr>
                        </w:div>
                        <w:div w:id="1882474801">
                          <w:marLeft w:val="0"/>
                          <w:marRight w:val="0"/>
                          <w:marTop w:val="0"/>
                          <w:marBottom w:val="0"/>
                          <w:divBdr>
                            <w:top w:val="none" w:sz="0" w:space="0" w:color="auto"/>
                            <w:left w:val="none" w:sz="0" w:space="0" w:color="auto"/>
                            <w:bottom w:val="none" w:sz="0" w:space="0" w:color="auto"/>
                            <w:right w:val="none" w:sz="0" w:space="0" w:color="auto"/>
                          </w:divBdr>
                        </w:div>
                        <w:div w:id="190339692">
                          <w:marLeft w:val="0"/>
                          <w:marRight w:val="0"/>
                          <w:marTop w:val="0"/>
                          <w:marBottom w:val="0"/>
                          <w:divBdr>
                            <w:top w:val="none" w:sz="0" w:space="0" w:color="auto"/>
                            <w:left w:val="none" w:sz="0" w:space="0" w:color="auto"/>
                            <w:bottom w:val="none" w:sz="0" w:space="0" w:color="auto"/>
                            <w:right w:val="none" w:sz="0" w:space="0" w:color="auto"/>
                          </w:divBdr>
                        </w:div>
                        <w:div w:id="200436373">
                          <w:marLeft w:val="0"/>
                          <w:marRight w:val="0"/>
                          <w:marTop w:val="0"/>
                          <w:marBottom w:val="0"/>
                          <w:divBdr>
                            <w:top w:val="none" w:sz="0" w:space="0" w:color="auto"/>
                            <w:left w:val="none" w:sz="0" w:space="0" w:color="auto"/>
                            <w:bottom w:val="none" w:sz="0" w:space="0" w:color="auto"/>
                            <w:right w:val="none" w:sz="0" w:space="0" w:color="auto"/>
                          </w:divBdr>
                        </w:div>
                        <w:div w:id="92435718">
                          <w:marLeft w:val="0"/>
                          <w:marRight w:val="0"/>
                          <w:marTop w:val="0"/>
                          <w:marBottom w:val="0"/>
                          <w:divBdr>
                            <w:top w:val="none" w:sz="0" w:space="0" w:color="auto"/>
                            <w:left w:val="none" w:sz="0" w:space="0" w:color="auto"/>
                            <w:bottom w:val="none" w:sz="0" w:space="0" w:color="auto"/>
                            <w:right w:val="none" w:sz="0" w:space="0" w:color="auto"/>
                          </w:divBdr>
                        </w:div>
                        <w:div w:id="465203815">
                          <w:marLeft w:val="0"/>
                          <w:marRight w:val="0"/>
                          <w:marTop w:val="0"/>
                          <w:marBottom w:val="0"/>
                          <w:divBdr>
                            <w:top w:val="none" w:sz="0" w:space="0" w:color="auto"/>
                            <w:left w:val="none" w:sz="0" w:space="0" w:color="auto"/>
                            <w:bottom w:val="none" w:sz="0" w:space="0" w:color="auto"/>
                            <w:right w:val="none" w:sz="0" w:space="0" w:color="auto"/>
                          </w:divBdr>
                        </w:div>
                        <w:div w:id="261425309">
                          <w:marLeft w:val="0"/>
                          <w:marRight w:val="0"/>
                          <w:marTop w:val="0"/>
                          <w:marBottom w:val="0"/>
                          <w:divBdr>
                            <w:top w:val="none" w:sz="0" w:space="0" w:color="auto"/>
                            <w:left w:val="none" w:sz="0" w:space="0" w:color="auto"/>
                            <w:bottom w:val="none" w:sz="0" w:space="0" w:color="auto"/>
                            <w:right w:val="none" w:sz="0" w:space="0" w:color="auto"/>
                          </w:divBdr>
                        </w:div>
                        <w:div w:id="1914967341">
                          <w:marLeft w:val="0"/>
                          <w:marRight w:val="0"/>
                          <w:marTop w:val="0"/>
                          <w:marBottom w:val="0"/>
                          <w:divBdr>
                            <w:top w:val="none" w:sz="0" w:space="0" w:color="auto"/>
                            <w:left w:val="none" w:sz="0" w:space="0" w:color="auto"/>
                            <w:bottom w:val="none" w:sz="0" w:space="0" w:color="auto"/>
                            <w:right w:val="none" w:sz="0" w:space="0" w:color="auto"/>
                          </w:divBdr>
                        </w:div>
                        <w:div w:id="4133118">
                          <w:marLeft w:val="0"/>
                          <w:marRight w:val="0"/>
                          <w:marTop w:val="0"/>
                          <w:marBottom w:val="0"/>
                          <w:divBdr>
                            <w:top w:val="none" w:sz="0" w:space="0" w:color="auto"/>
                            <w:left w:val="none" w:sz="0" w:space="0" w:color="auto"/>
                            <w:bottom w:val="none" w:sz="0" w:space="0" w:color="auto"/>
                            <w:right w:val="none" w:sz="0" w:space="0" w:color="auto"/>
                          </w:divBdr>
                        </w:div>
                        <w:div w:id="1631672255">
                          <w:marLeft w:val="0"/>
                          <w:marRight w:val="0"/>
                          <w:marTop w:val="0"/>
                          <w:marBottom w:val="0"/>
                          <w:divBdr>
                            <w:top w:val="none" w:sz="0" w:space="0" w:color="auto"/>
                            <w:left w:val="none" w:sz="0" w:space="0" w:color="auto"/>
                            <w:bottom w:val="none" w:sz="0" w:space="0" w:color="auto"/>
                            <w:right w:val="none" w:sz="0" w:space="0" w:color="auto"/>
                          </w:divBdr>
                        </w:div>
                        <w:div w:id="1747802994">
                          <w:marLeft w:val="0"/>
                          <w:marRight w:val="0"/>
                          <w:marTop w:val="0"/>
                          <w:marBottom w:val="0"/>
                          <w:divBdr>
                            <w:top w:val="none" w:sz="0" w:space="0" w:color="auto"/>
                            <w:left w:val="none" w:sz="0" w:space="0" w:color="auto"/>
                            <w:bottom w:val="none" w:sz="0" w:space="0" w:color="auto"/>
                            <w:right w:val="none" w:sz="0" w:space="0" w:color="auto"/>
                          </w:divBdr>
                        </w:div>
                        <w:div w:id="1403747231">
                          <w:marLeft w:val="0"/>
                          <w:marRight w:val="0"/>
                          <w:marTop w:val="0"/>
                          <w:marBottom w:val="0"/>
                          <w:divBdr>
                            <w:top w:val="none" w:sz="0" w:space="0" w:color="auto"/>
                            <w:left w:val="none" w:sz="0" w:space="0" w:color="auto"/>
                            <w:bottom w:val="none" w:sz="0" w:space="0" w:color="auto"/>
                            <w:right w:val="none" w:sz="0" w:space="0" w:color="auto"/>
                          </w:divBdr>
                        </w:div>
                        <w:div w:id="818767362">
                          <w:marLeft w:val="0"/>
                          <w:marRight w:val="0"/>
                          <w:marTop w:val="0"/>
                          <w:marBottom w:val="0"/>
                          <w:divBdr>
                            <w:top w:val="none" w:sz="0" w:space="0" w:color="auto"/>
                            <w:left w:val="none" w:sz="0" w:space="0" w:color="auto"/>
                            <w:bottom w:val="none" w:sz="0" w:space="0" w:color="auto"/>
                            <w:right w:val="none" w:sz="0" w:space="0" w:color="auto"/>
                          </w:divBdr>
                        </w:div>
                        <w:div w:id="2298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82713">
      <w:bodyDiv w:val="1"/>
      <w:marLeft w:val="0"/>
      <w:marRight w:val="0"/>
      <w:marTop w:val="0"/>
      <w:marBottom w:val="0"/>
      <w:divBdr>
        <w:top w:val="none" w:sz="0" w:space="0" w:color="auto"/>
        <w:left w:val="none" w:sz="0" w:space="0" w:color="auto"/>
        <w:bottom w:val="none" w:sz="0" w:space="0" w:color="auto"/>
        <w:right w:val="none" w:sz="0" w:space="0" w:color="auto"/>
      </w:divBdr>
    </w:div>
    <w:div w:id="1623000848">
      <w:bodyDiv w:val="1"/>
      <w:marLeft w:val="0"/>
      <w:marRight w:val="0"/>
      <w:marTop w:val="0"/>
      <w:marBottom w:val="0"/>
      <w:divBdr>
        <w:top w:val="none" w:sz="0" w:space="0" w:color="auto"/>
        <w:left w:val="none" w:sz="0" w:space="0" w:color="auto"/>
        <w:bottom w:val="none" w:sz="0" w:space="0" w:color="auto"/>
        <w:right w:val="none" w:sz="0" w:space="0" w:color="auto"/>
      </w:divBdr>
    </w:div>
    <w:div w:id="1671330217">
      <w:bodyDiv w:val="1"/>
      <w:marLeft w:val="0"/>
      <w:marRight w:val="0"/>
      <w:marTop w:val="0"/>
      <w:marBottom w:val="0"/>
      <w:divBdr>
        <w:top w:val="none" w:sz="0" w:space="0" w:color="auto"/>
        <w:left w:val="none" w:sz="0" w:space="0" w:color="auto"/>
        <w:bottom w:val="none" w:sz="0" w:space="0" w:color="auto"/>
        <w:right w:val="none" w:sz="0" w:space="0" w:color="auto"/>
      </w:divBdr>
    </w:div>
    <w:div w:id="1699966055">
      <w:bodyDiv w:val="1"/>
      <w:marLeft w:val="0"/>
      <w:marRight w:val="0"/>
      <w:marTop w:val="0"/>
      <w:marBottom w:val="0"/>
      <w:divBdr>
        <w:top w:val="none" w:sz="0" w:space="0" w:color="auto"/>
        <w:left w:val="none" w:sz="0" w:space="0" w:color="auto"/>
        <w:bottom w:val="none" w:sz="0" w:space="0" w:color="auto"/>
        <w:right w:val="none" w:sz="0" w:space="0" w:color="auto"/>
      </w:divBdr>
    </w:div>
    <w:div w:id="1883010747">
      <w:bodyDiv w:val="1"/>
      <w:marLeft w:val="0"/>
      <w:marRight w:val="0"/>
      <w:marTop w:val="0"/>
      <w:marBottom w:val="0"/>
      <w:divBdr>
        <w:top w:val="none" w:sz="0" w:space="0" w:color="auto"/>
        <w:left w:val="none" w:sz="0" w:space="0" w:color="auto"/>
        <w:bottom w:val="none" w:sz="0" w:space="0" w:color="auto"/>
        <w:right w:val="none" w:sz="0" w:space="0" w:color="auto"/>
      </w:divBdr>
    </w:div>
    <w:div w:id="2024284591">
      <w:bodyDiv w:val="1"/>
      <w:marLeft w:val="0"/>
      <w:marRight w:val="0"/>
      <w:marTop w:val="0"/>
      <w:marBottom w:val="0"/>
      <w:divBdr>
        <w:top w:val="none" w:sz="0" w:space="0" w:color="auto"/>
        <w:left w:val="none" w:sz="0" w:space="0" w:color="auto"/>
        <w:bottom w:val="none" w:sz="0" w:space="0" w:color="auto"/>
        <w:right w:val="none" w:sz="0" w:space="0" w:color="auto"/>
      </w:divBdr>
    </w:div>
    <w:div w:id="204066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wypf.org.uk/Member/Fire/IDRP/InternalDisputeResolutionPro.aspx" TargetMode="External"/><Relationship Id="rId5" Type="http://schemas.openxmlformats.org/officeDocument/2006/relationships/customXml" Target="../customXml/item5.xml"/><Relationship Id="rId15" Type="http://schemas.openxmlformats.org/officeDocument/2006/relationships/hyperlink" Target="http://www.wypf.org.uk/Member/Fire/IDRP/InternalDisputeResolutionPro.aspx"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71e8aad-cf0b-4a9f-9eee-96f183a36660" ContentTypeId="0x0101002F8500B8A1102348A2553EED50E999D3"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tention_x0020_End_x0020_Date xmlns="8a4e297b-ba98-4686-a1a5-d42bb460104b">2029-09-19T23:00:00+00:00</Retention_x0020_End_x0020_Date>
    <DocumentCategory xmlns="e1b25a2c-ccc4-4715-9774-503bb9887330" xsi:nil="true"/>
    <Year xmlns="f26ff68d-0168-4809-9fbc-63e19a5a703d" xsi:nil="true"/>
    <Month xmlns="f26ff68d-0168-4809-9fbc-63e19a5a703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ord Document" ma:contentTypeID="0x0101002F8500B8A1102348A2553EED50E999D300C293643F6797E74D801B6F489B57FF4D" ma:contentTypeVersion="15" ma:contentTypeDescription="" ma:contentTypeScope="" ma:versionID="b2dbe160e42e90be3e561ba76c84aa8a">
  <xsd:schema xmlns:xsd="http://www.w3.org/2001/XMLSchema" xmlns:xs="http://www.w3.org/2001/XMLSchema" xmlns:p="http://schemas.microsoft.com/office/2006/metadata/properties" xmlns:ns2="8a4e297b-ba98-4686-a1a5-d42bb460104b" xmlns:ns3="e1b25a2c-ccc4-4715-9774-503bb9887330" xmlns:ns4="f26ff68d-0168-4809-9fbc-63e19a5a703d" targetNamespace="http://schemas.microsoft.com/office/2006/metadata/properties" ma:root="true" ma:fieldsID="80ae3ee418725b8afef0923d5094616e" ns2:_="" ns3:_="" ns4:_="">
    <xsd:import namespace="8a4e297b-ba98-4686-a1a5-d42bb460104b"/>
    <xsd:import namespace="e1b25a2c-ccc4-4715-9774-503bb9887330"/>
    <xsd:import namespace="f26ff68d-0168-4809-9fbc-63e19a5a703d"/>
    <xsd:element name="properties">
      <xsd:complexType>
        <xsd:sequence>
          <xsd:element name="documentManagement">
            <xsd:complexType>
              <xsd:all>
                <xsd:element ref="ns2:Retention_x0020_End_x0020_Date"/>
                <xsd:element ref="ns3:DocumentCategory" minOccurs="0"/>
                <xsd:element ref="ns4:Year" minOccurs="0"/>
                <xsd:element ref="ns4: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e297b-ba98-4686-a1a5-d42bb460104b" elementFormDefault="qualified">
    <xsd:import namespace="http://schemas.microsoft.com/office/2006/documentManagement/types"/>
    <xsd:import namespace="http://schemas.microsoft.com/office/infopath/2007/PartnerControls"/>
    <xsd:element name="Retention_x0020_End_x0020_Date" ma:index="8" ma:displayName="Retention End Date" ma:format="DateOnly" ma:internalName="Retention_x0020_En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b25a2c-ccc4-4715-9774-503bb9887330" elementFormDefault="qualified">
    <xsd:import namespace="http://schemas.microsoft.com/office/2006/documentManagement/types"/>
    <xsd:import namespace="http://schemas.microsoft.com/office/infopath/2007/PartnerControls"/>
    <xsd:element name="DocumentCategory" ma:index="9" nillable="true" ma:displayName="Document Category" ma:format="Dropdown" ma:internalName="DocumentCategory">
      <xsd:simpleType>
        <xsd:restriction base="dms:Choice">
          <xsd:enumeration value="Auto re enrolment 2019"/>
          <xsd:enumeration value="Complaints"/>
          <xsd:enumeration value="Consultations"/>
          <xsd:enumeration value="CPD Recipients 2019-20"/>
          <xsd:enumeration value="Death Cases"/>
          <xsd:enumeration value="F21s Raised"/>
          <xsd:enumeration value="FPS Estimate Calcs &amp; Letters"/>
          <xsd:enumeration value="FPS Discretions"/>
          <xsd:enumeration value="FPS Leavers"/>
          <xsd:enumeration value="FPS Starters"/>
          <xsd:enumeration value="FPS Year End"/>
          <xsd:enumeration value="GAD 2019"/>
          <xsd:enumeration value="GAD"/>
          <xsd:enumeration value="HMRC Info and Letters"/>
          <xsd:enumeration value="IDRP"/>
          <xsd:enumeration value="Ill Health Forms and Guidance"/>
          <xsd:enumeration value="Ill Health Forms and Guidance – for Healthwork"/>
          <xsd:enumeration value="LGPS AVCs – incl AVCWise"/>
          <xsd:enumeration value="LGPS Estimate Calcs &amp; Letters"/>
          <xsd:enumeration value="LGPS Data and Tasks"/>
          <xsd:enumeration value="LGPS Discretions and Policies"/>
          <xsd:enumeration value="LGPS Leavers"/>
          <xsd:enumeration value="LGPS Starters"/>
          <xsd:enumeration value="LGPS Year End"/>
          <xsd:enumeration value="LPB"/>
          <xsd:enumeration value="Opting Out"/>
          <xsd:enumeration value="Pre Ret Seminars"/>
          <xsd:enumeration value="Quarterly Board Report"/>
          <xsd:enumeration value="RDS Mod Letters"/>
          <xsd:enumeration value="Recalcs"/>
          <xsd:enumeration value="Remedy"/>
          <xsd:enumeration value="Retirements"/>
          <xsd:enumeration value="SAB Levy"/>
          <xsd:enumeration value="Strike Action Info"/>
          <xsd:enumeration value="Strike Action Info - Buy Back"/>
          <xsd:enumeration value="Strike Action Info - Buy Back - Payroll"/>
          <xsd:enumeration value="Strike Action Info - Buy Back - Wholetime"/>
          <xsd:enumeration value="Surveys"/>
          <xsd:enumeration value="Top up Grant"/>
        </xsd:restriction>
      </xsd:simpleType>
    </xsd:element>
  </xsd:schema>
  <xsd:schema xmlns:xsd="http://www.w3.org/2001/XMLSchema" xmlns:xs="http://www.w3.org/2001/XMLSchema" xmlns:dms="http://schemas.microsoft.com/office/2006/documentManagement/types" xmlns:pc="http://schemas.microsoft.com/office/infopath/2007/PartnerControls" targetNamespace="f26ff68d-0168-4809-9fbc-63e19a5a703d" elementFormDefault="qualified">
    <xsd:import namespace="http://schemas.microsoft.com/office/2006/documentManagement/types"/>
    <xsd:import namespace="http://schemas.microsoft.com/office/infopath/2007/PartnerControls"/>
    <xsd:element name="Year" ma:index="10" nillable="true" ma:displayName="Year" ma:format="Dropdown" ma:internalName="Year">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5"/>
          <xsd:enumeration value="2021/22"/>
          <xsd:enumeration value="2020/21"/>
          <xsd:enumeration value="2019/20"/>
          <xsd:enumeration value="2018/19"/>
          <xsd:enumeration value="2017/18"/>
          <xsd:enumeration value="2016/17"/>
          <xsd:enumeration value="2015/16"/>
          <xsd:enumeration value="2014/15"/>
          <xsd:enumeration value="2013/14"/>
          <xsd:enumeration value="2012/13"/>
          <xsd:enumeration value="2011/12"/>
          <xsd:enumeration value="2002/03"/>
        </xsd:restriction>
      </xsd:simpleType>
    </xsd:element>
    <xsd:element name="Month" ma:index="11" nillable="true" ma:displayName="Month" ma:format="Dropdown" ma:internalName="Month">
      <xsd:simpleType>
        <xsd:restriction base="dms:Choice">
          <xsd:enumeration value="Full Year"/>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05BFF-BC47-4581-9C7E-DB7BC0DE15EC}">
  <ds:schemaRefs>
    <ds:schemaRef ds:uri="Microsoft.SharePoint.Taxonomy.ContentTypeSync"/>
  </ds:schemaRefs>
</ds:datastoreItem>
</file>

<file path=customXml/itemProps2.xml><?xml version="1.0" encoding="utf-8"?>
<ds:datastoreItem xmlns:ds="http://schemas.openxmlformats.org/officeDocument/2006/customXml" ds:itemID="{155A8552-84D7-4649-9AA2-A0913184EC25}">
  <ds:schemaRefs>
    <ds:schemaRef ds:uri="http://schemas.microsoft.com/office/2006/metadata/customXsn"/>
  </ds:schemaRefs>
</ds:datastoreItem>
</file>

<file path=customXml/itemProps3.xml><?xml version="1.0" encoding="utf-8"?>
<ds:datastoreItem xmlns:ds="http://schemas.openxmlformats.org/officeDocument/2006/customXml" ds:itemID="{A78F3E87-995D-48D1-81BF-F19DA3DF03F8}">
  <ds:schemaRefs>
    <ds:schemaRef ds:uri="http://schemas.microsoft.com/sharepoint/v3/contenttype/forms"/>
  </ds:schemaRefs>
</ds:datastoreItem>
</file>

<file path=customXml/itemProps4.xml><?xml version="1.0" encoding="utf-8"?>
<ds:datastoreItem xmlns:ds="http://schemas.openxmlformats.org/officeDocument/2006/customXml" ds:itemID="{8A49182A-CDC1-4BF6-8F2D-51F7753D9C5D}">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a4e297b-ba98-4686-a1a5-d42bb460104b"/>
    <ds:schemaRef ds:uri="http://purl.org/dc/elements/1.1/"/>
    <ds:schemaRef ds:uri="http://schemas.microsoft.com/office/2006/metadata/properties"/>
    <ds:schemaRef ds:uri="f26ff68d-0168-4809-9fbc-63e19a5a703d"/>
    <ds:schemaRef ds:uri="e1b25a2c-ccc4-4715-9774-503bb9887330"/>
    <ds:schemaRef ds:uri="http://www.w3.org/XML/1998/namespace"/>
  </ds:schemaRefs>
</ds:datastoreItem>
</file>

<file path=customXml/itemProps5.xml><?xml version="1.0" encoding="utf-8"?>
<ds:datastoreItem xmlns:ds="http://schemas.openxmlformats.org/officeDocument/2006/customXml" ds:itemID="{8D3A7CBD-E3BA-4A66-8797-DD27A4473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e297b-ba98-4686-a1a5-d42bb460104b"/>
    <ds:schemaRef ds:uri="e1b25a2c-ccc4-4715-9774-503bb9887330"/>
    <ds:schemaRef ds:uri="f26ff68d-0168-4809-9fbc-63e19a5a7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3BECE7-8C95-421D-939A-6B148975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2820</Words>
  <Characters>16077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Pensions Administrator Manager Report for Pensions Board Meeting 1 Oct 2019</vt:lpstr>
    </vt:vector>
  </TitlesOfParts>
  <Company>North Yorkshire Fire &amp; Rescue Service</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Pensions Administrator Manager Report for Pensions Board Meeting 1 Oct 2019</dc:title>
  <dc:subject>Reports</dc:subject>
  <dc:creator>David Hood</dc:creator>
  <cp:lastModifiedBy>David Hood</cp:lastModifiedBy>
  <cp:revision>2</cp:revision>
  <cp:lastPrinted>2019-11-28T16:02:00Z</cp:lastPrinted>
  <dcterms:created xsi:type="dcterms:W3CDTF">2021-02-24T10:09:00Z</dcterms:created>
  <dcterms:modified xsi:type="dcterms:W3CDTF">2021-02-24T10:09:00Z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0x0101002F8500B8A1102348A2553EED50E999D300C293643F6797E74D801B6F489B57FF4D</vt:lpwstr>
  </property>
  <property fmtid="{D5CDD505-2E9C-101B-9397-08002B2CF9AE}" pid="3" name="_dlc_DocIdItemGuid">
    <vt:lpwstr>cd7c9d5d-b0b5-4e6e-9b0e-6627adb5197f</vt:lpwstr>
  </property>
</Properties>
</file>